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242"/>
        <w:gridCol w:w="1560"/>
        <w:gridCol w:w="992"/>
        <w:gridCol w:w="426"/>
        <w:gridCol w:w="5276"/>
        <w:gridCol w:w="960"/>
      </w:tblGrid>
      <w:tr w:rsidR="00C17F48" w:rsidRPr="000141DC" w:rsidTr="00B67976">
        <w:tc>
          <w:tcPr>
            <w:tcW w:w="1045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EE1F23" w:rsidP="00B67976">
            <w:pPr>
              <w:pStyle w:val="a7"/>
              <w:tabs>
                <w:tab w:val="left" w:pos="1134"/>
              </w:tabs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Таблиця 1.</w:t>
            </w:r>
          </w:p>
          <w:tbl>
            <w:tblPr>
              <w:tblStyle w:val="a9"/>
              <w:tblW w:w="8849" w:type="dxa"/>
              <w:jc w:val="center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5480"/>
              <w:gridCol w:w="2033"/>
            </w:tblGrid>
            <w:tr w:rsidR="00C17F48" w:rsidRPr="00CC5EA0">
              <w:trPr>
                <w:jc w:val="center"/>
              </w:trPr>
              <w:tc>
                <w:tcPr>
                  <w:tcW w:w="1336" w:type="dxa"/>
                  <w:shd w:val="clear" w:color="auto" w:fill="auto"/>
                  <w:tcMar>
                    <w:left w:w="103" w:type="dxa"/>
                  </w:tcMar>
                </w:tcPr>
                <w:p w:rsidR="00C17F48" w:rsidRPr="00B67976" w:rsidRDefault="00EE1F23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B6797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Ч.ч.</w:t>
                  </w:r>
                </w:p>
              </w:tc>
              <w:tc>
                <w:tcPr>
                  <w:tcW w:w="5480" w:type="dxa"/>
                  <w:shd w:val="clear" w:color="auto" w:fill="auto"/>
                  <w:tcMar>
                    <w:left w:w="103" w:type="dxa"/>
                  </w:tcMar>
                </w:tcPr>
                <w:p w:rsidR="00C17F48" w:rsidRPr="00B67976" w:rsidRDefault="00EE1F23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B6797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Найменування графічних матеріалів</w:t>
                  </w:r>
                </w:p>
              </w:tc>
              <w:tc>
                <w:tcPr>
                  <w:tcW w:w="2033" w:type="dxa"/>
                  <w:shd w:val="clear" w:color="auto" w:fill="auto"/>
                  <w:tcMar>
                    <w:left w:w="103" w:type="dxa"/>
                  </w:tcMar>
                </w:tcPr>
                <w:p w:rsidR="00C17F48" w:rsidRPr="00B67976" w:rsidRDefault="00EE1F23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B6797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Масштаби креслень</w:t>
                  </w:r>
                </w:p>
              </w:tc>
            </w:tr>
            <w:tr w:rsidR="00C17F48" w:rsidRPr="00CC5EA0">
              <w:trPr>
                <w:jc w:val="center"/>
              </w:trPr>
              <w:tc>
                <w:tcPr>
                  <w:tcW w:w="1336" w:type="dxa"/>
                  <w:shd w:val="clear" w:color="auto" w:fill="auto"/>
                  <w:tcMar>
                    <w:left w:w="103" w:type="dxa"/>
                  </w:tcMar>
                </w:tcPr>
                <w:p w:rsidR="00C17F48" w:rsidRPr="00CC5EA0" w:rsidRDefault="00EE1F23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5480" w:type="dxa"/>
                  <w:shd w:val="clear" w:color="auto" w:fill="auto"/>
                  <w:tcMar>
                    <w:left w:w="103" w:type="dxa"/>
                  </w:tcMar>
                </w:tcPr>
                <w:p w:rsidR="00C17F48" w:rsidRPr="00CC5EA0" w:rsidRDefault="00EE1F23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Схема розташування території у планувальній структурі населеного пункту</w:t>
                  </w:r>
                </w:p>
              </w:tc>
              <w:tc>
                <w:tcPr>
                  <w:tcW w:w="2033" w:type="dxa"/>
                  <w:shd w:val="clear" w:color="auto" w:fill="auto"/>
                  <w:tcMar>
                    <w:left w:w="103" w:type="dxa"/>
                  </w:tcMar>
                </w:tcPr>
                <w:p w:rsidR="00C17F48" w:rsidRPr="00CC5EA0" w:rsidRDefault="00EE1F23" w:rsidP="00FF51DA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1:</w:t>
                  </w:r>
                  <w:r w:rsidR="00FF51D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  <w:r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000</w:t>
                  </w:r>
                </w:p>
              </w:tc>
            </w:tr>
            <w:tr w:rsidR="00C17F48" w:rsidRPr="00CC5EA0">
              <w:trPr>
                <w:jc w:val="center"/>
              </w:trPr>
              <w:tc>
                <w:tcPr>
                  <w:tcW w:w="1336" w:type="dxa"/>
                  <w:shd w:val="clear" w:color="auto" w:fill="auto"/>
                  <w:tcMar>
                    <w:left w:w="103" w:type="dxa"/>
                  </w:tcMar>
                </w:tcPr>
                <w:p w:rsidR="00C17F48" w:rsidRPr="00CC5EA0" w:rsidRDefault="00EE1F23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5480" w:type="dxa"/>
                  <w:shd w:val="clear" w:color="auto" w:fill="auto"/>
                  <w:tcMar>
                    <w:left w:w="103" w:type="dxa"/>
                  </w:tcMar>
                </w:tcPr>
                <w:p w:rsidR="00C17F48" w:rsidRPr="00CC5EA0" w:rsidRDefault="00EE1F23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План існуючого використання території</w:t>
                  </w:r>
                  <w:r w:rsidR="00BC7BA9"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="00BC7BA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суміщений з схемою</w:t>
                  </w:r>
                  <w:r w:rsidR="00BC7BA9"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планувальних обмежень</w:t>
                  </w:r>
                </w:p>
              </w:tc>
              <w:tc>
                <w:tcPr>
                  <w:tcW w:w="2033" w:type="dxa"/>
                  <w:shd w:val="clear" w:color="auto" w:fill="auto"/>
                  <w:tcMar>
                    <w:left w:w="103" w:type="dxa"/>
                  </w:tcMar>
                </w:tcPr>
                <w:p w:rsidR="00C17F48" w:rsidRPr="00CC5EA0" w:rsidRDefault="00EE1F23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1:500</w:t>
                  </w:r>
                </w:p>
              </w:tc>
            </w:tr>
            <w:tr w:rsidR="00C17F48" w:rsidRPr="00CC5EA0">
              <w:trPr>
                <w:jc w:val="center"/>
              </w:trPr>
              <w:tc>
                <w:tcPr>
                  <w:tcW w:w="1336" w:type="dxa"/>
                  <w:shd w:val="clear" w:color="auto" w:fill="auto"/>
                  <w:tcMar>
                    <w:left w:w="103" w:type="dxa"/>
                  </w:tcMar>
                </w:tcPr>
                <w:p w:rsidR="00C17F48" w:rsidRPr="00CC5EA0" w:rsidRDefault="00BC7BA9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5480" w:type="dxa"/>
                  <w:shd w:val="clear" w:color="auto" w:fill="auto"/>
                  <w:tcMar>
                    <w:left w:w="103" w:type="dxa"/>
                  </w:tcMar>
                </w:tcPr>
                <w:p w:rsidR="00C17F48" w:rsidRPr="00CC5EA0" w:rsidRDefault="00EE1F23" w:rsidP="000C5D71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Проектний план</w:t>
                  </w:r>
                  <w:r w:rsidR="00BC7BA9"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033" w:type="dxa"/>
                  <w:shd w:val="clear" w:color="auto" w:fill="auto"/>
                  <w:tcMar>
                    <w:left w:w="103" w:type="dxa"/>
                  </w:tcMar>
                </w:tcPr>
                <w:p w:rsidR="00AD77A2" w:rsidRPr="00CC5EA0" w:rsidRDefault="00EE1F23" w:rsidP="000C5D71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C5EA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1:500</w:t>
                  </w:r>
                </w:p>
              </w:tc>
            </w:tr>
            <w:tr w:rsidR="00CF7984" w:rsidRPr="00CC5EA0">
              <w:trPr>
                <w:jc w:val="center"/>
              </w:trPr>
              <w:tc>
                <w:tcPr>
                  <w:tcW w:w="1336" w:type="dxa"/>
                  <w:shd w:val="clear" w:color="auto" w:fill="auto"/>
                  <w:tcMar>
                    <w:left w:w="103" w:type="dxa"/>
                  </w:tcMar>
                </w:tcPr>
                <w:p w:rsidR="00CF7984" w:rsidRDefault="00AD77A2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5480" w:type="dxa"/>
                  <w:shd w:val="clear" w:color="auto" w:fill="auto"/>
                  <w:tcMar>
                    <w:left w:w="103" w:type="dxa"/>
                  </w:tcMar>
                </w:tcPr>
                <w:p w:rsidR="00CF7984" w:rsidRPr="00CC5EA0" w:rsidRDefault="00CF7984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Схема організації руху транспорту і пішоходів</w:t>
                  </w:r>
                </w:p>
              </w:tc>
              <w:tc>
                <w:tcPr>
                  <w:tcW w:w="2033" w:type="dxa"/>
                  <w:shd w:val="clear" w:color="auto" w:fill="auto"/>
                  <w:tcMar>
                    <w:left w:w="103" w:type="dxa"/>
                  </w:tcMar>
                </w:tcPr>
                <w:p w:rsidR="00CF7984" w:rsidRPr="00CC5EA0" w:rsidRDefault="00CF7984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1:500</w:t>
                  </w:r>
                </w:p>
              </w:tc>
            </w:tr>
            <w:tr w:rsidR="00CF7984" w:rsidRPr="00CC5EA0">
              <w:trPr>
                <w:jc w:val="center"/>
              </w:trPr>
              <w:tc>
                <w:tcPr>
                  <w:tcW w:w="1336" w:type="dxa"/>
                  <w:shd w:val="clear" w:color="auto" w:fill="auto"/>
                  <w:tcMar>
                    <w:left w:w="103" w:type="dxa"/>
                  </w:tcMar>
                </w:tcPr>
                <w:p w:rsidR="00CF7984" w:rsidRDefault="00AD77A2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5480" w:type="dxa"/>
                  <w:shd w:val="clear" w:color="auto" w:fill="auto"/>
                  <w:tcMar>
                    <w:left w:w="103" w:type="dxa"/>
                  </w:tcMar>
                </w:tcPr>
                <w:p w:rsidR="00CF7984" w:rsidRDefault="00CF7984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Схема інженерної підготовки території та вертикального планування</w:t>
                  </w:r>
                </w:p>
              </w:tc>
              <w:tc>
                <w:tcPr>
                  <w:tcW w:w="2033" w:type="dxa"/>
                  <w:shd w:val="clear" w:color="auto" w:fill="auto"/>
                  <w:tcMar>
                    <w:left w:w="103" w:type="dxa"/>
                  </w:tcMar>
                </w:tcPr>
                <w:p w:rsidR="00CF7984" w:rsidRDefault="00CF7984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1:500</w:t>
                  </w:r>
                </w:p>
              </w:tc>
            </w:tr>
            <w:tr w:rsidR="00CF7984" w:rsidRPr="00CC5EA0">
              <w:trPr>
                <w:jc w:val="center"/>
              </w:trPr>
              <w:tc>
                <w:tcPr>
                  <w:tcW w:w="1336" w:type="dxa"/>
                  <w:shd w:val="clear" w:color="auto" w:fill="auto"/>
                  <w:tcMar>
                    <w:left w:w="103" w:type="dxa"/>
                  </w:tcMar>
                </w:tcPr>
                <w:p w:rsidR="00CF7984" w:rsidRDefault="00AD77A2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5480" w:type="dxa"/>
                  <w:shd w:val="clear" w:color="auto" w:fill="auto"/>
                  <w:tcMar>
                    <w:left w:w="103" w:type="dxa"/>
                  </w:tcMar>
                </w:tcPr>
                <w:p w:rsidR="00CF7984" w:rsidRDefault="00CF7984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Схема інженерних мереж, споруд і використання підземного простору</w:t>
                  </w:r>
                </w:p>
              </w:tc>
              <w:tc>
                <w:tcPr>
                  <w:tcW w:w="2033" w:type="dxa"/>
                  <w:shd w:val="clear" w:color="auto" w:fill="auto"/>
                  <w:tcMar>
                    <w:left w:w="103" w:type="dxa"/>
                  </w:tcMar>
                </w:tcPr>
                <w:p w:rsidR="00CF7984" w:rsidRDefault="00CF7984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1:500</w:t>
                  </w:r>
                </w:p>
              </w:tc>
            </w:tr>
            <w:tr w:rsidR="000C5D71" w:rsidRPr="00CC5EA0">
              <w:trPr>
                <w:jc w:val="center"/>
              </w:trPr>
              <w:tc>
                <w:tcPr>
                  <w:tcW w:w="1336" w:type="dxa"/>
                  <w:shd w:val="clear" w:color="auto" w:fill="auto"/>
                  <w:tcMar>
                    <w:left w:w="103" w:type="dxa"/>
                  </w:tcMar>
                </w:tcPr>
                <w:p w:rsidR="000C5D71" w:rsidRDefault="000C5D71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5480" w:type="dxa"/>
                  <w:shd w:val="clear" w:color="auto" w:fill="auto"/>
                  <w:tcMar>
                    <w:left w:w="103" w:type="dxa"/>
                  </w:tcMar>
                </w:tcPr>
                <w:p w:rsidR="000C5D71" w:rsidRDefault="000C5D71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Креслення поперечних профілів вулиць</w:t>
                  </w:r>
                </w:p>
              </w:tc>
              <w:tc>
                <w:tcPr>
                  <w:tcW w:w="2033" w:type="dxa"/>
                  <w:shd w:val="clear" w:color="auto" w:fill="auto"/>
                  <w:tcMar>
                    <w:left w:w="103" w:type="dxa"/>
                  </w:tcMar>
                </w:tcPr>
                <w:p w:rsidR="000C5D71" w:rsidRDefault="000C5D71" w:rsidP="00B67976">
                  <w:pPr>
                    <w:pStyle w:val="a7"/>
                    <w:tabs>
                      <w:tab w:val="left" w:pos="1134"/>
                    </w:tabs>
                    <w:spacing w:after="0"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1:200</w:t>
                  </w:r>
                </w:p>
              </w:tc>
            </w:tr>
          </w:tbl>
          <w:p w:rsidR="00B67976" w:rsidRPr="009E1A06" w:rsidRDefault="000141DC" w:rsidP="009E1A06">
            <w:pPr>
              <w:pStyle w:val="a7"/>
              <w:tabs>
                <w:tab w:val="left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1A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текстових матеріалів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</w:rPr>
              <w:t>Перел</w:t>
            </w: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ік матеріалів детального плану території (склад проекту). 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Стислий опис природних, соціально-економічних і містобудівних умов.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Оцінка існуючої ситуації: стану навколишнього середовища, використання території, характеристика (за видами, поверховістю, технічним станом) будівель, об’єктів культурної спадщини, земель історико-культурного призначення, інженерного обладнання, транспорту, озеленення і благоустрою, планувальних обмежень.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Розподіл територій за функціональним використанням, розміщення забудови на вільних територіях та за рахунок реконструкції, структура забудови, яка пропонується (поверховість, щільність). 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Характеристика видів використання території (житлова, виробнича, рекреаційна, курортна, оздоровча, природоохоронна тощо). 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Пропозиції щодо встановлення режиму забудови територій, передбачених для перспективної містобудівної діяльності, в т.ч. для розміщення об’єктів соціальної та інженерно-транспортної інфраструктури, охорони та збереження культурної спадщини.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Переважні, супутні і допустимі види використання території, містобудівні умови та обмеження (уточнення).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принципи планувально-просторової організації території.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 обслуговування населення, розміщення основних об’єктів обслуговування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Вулично-дорожня мережа, транспортне обслуговування, організація руху транспорту </w:t>
            </w:r>
            <w:proofErr w:type="spellStart"/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іпішоходів</w:t>
            </w:r>
            <w:proofErr w:type="spellEnd"/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велосипедних доріжок, розміщення гаражів і автостоянок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Вулично-дорожня мережа, транспортне обслуговування, організація руху транспорту </w:t>
            </w:r>
            <w:proofErr w:type="spellStart"/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іпішоходів</w:t>
            </w:r>
            <w:proofErr w:type="spellEnd"/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велосипедних доріжок, розміщення гаражів і автостоянок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Інженерна підготовка та інженерний захист території, використання підземного простору.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Комплексний благоустрій та озеленення території</w:t>
            </w:r>
          </w:p>
          <w:p w:rsidR="000141DC" w:rsidRPr="009E1A06" w:rsidRDefault="000141DC" w:rsidP="000141DC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Містобудівні заходи щодо поліпшення стану навколишнього середовища.</w:t>
            </w:r>
          </w:p>
          <w:p w:rsidR="009E1A06" w:rsidRPr="00AD77A2" w:rsidRDefault="000141DC" w:rsidP="00EC7A08">
            <w:pPr>
              <w:pStyle w:val="a7"/>
              <w:numPr>
                <w:ilvl w:val="0"/>
                <w:numId w:val="1"/>
              </w:num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щодо реалізації детального плану на етап від 3 років до 7 років.</w:t>
            </w:r>
          </w:p>
          <w:p w:rsidR="00AD77A2" w:rsidRDefault="00AD77A2" w:rsidP="00AD77A2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7A2" w:rsidRPr="00AD77A2" w:rsidRDefault="00AD77A2" w:rsidP="00AD77A2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F48" w:rsidRPr="00CC5EA0" w:rsidTr="00B67976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17F48" w:rsidRPr="00CC5EA0" w:rsidRDefault="00EE1F23" w:rsidP="00B6797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Пояснююча записка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EE1F23" w:rsidP="00B6797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Аркуш</w:t>
            </w:r>
          </w:p>
        </w:tc>
      </w:tr>
      <w:tr w:rsidR="00C17F48" w:rsidRPr="00CC5EA0" w:rsidTr="00B67976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EE1F23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AE7D22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О.Костюк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17F48" w:rsidRPr="00CC5EA0" w:rsidTr="00B67976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17F48" w:rsidRPr="00CC5EA0" w:rsidRDefault="00C17F48" w:rsidP="00B679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C7BA9" w:rsidRPr="00894F87" w:rsidRDefault="00BC7BA9" w:rsidP="00894F87">
      <w:pPr>
        <w:pStyle w:val="a7"/>
        <w:tabs>
          <w:tab w:val="left" w:pos="1134"/>
        </w:tabs>
        <w:spacing w:after="0"/>
        <w:ind w:left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ПОЯСНЮЮЧА ЗАПИСКА</w:t>
      </w:r>
    </w:p>
    <w:p w:rsidR="00C17F48" w:rsidRPr="000141DC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1DC">
        <w:rPr>
          <w:rFonts w:ascii="Times New Roman" w:hAnsi="Times New Roman" w:cs="Times New Roman"/>
          <w:b/>
          <w:sz w:val="24"/>
          <w:szCs w:val="24"/>
        </w:rPr>
        <w:t>Перел</w:t>
      </w:r>
      <w:r w:rsidRPr="000141DC">
        <w:rPr>
          <w:rFonts w:ascii="Times New Roman" w:hAnsi="Times New Roman" w:cs="Times New Roman"/>
          <w:b/>
          <w:sz w:val="24"/>
          <w:szCs w:val="24"/>
          <w:lang w:val="uk-UA"/>
        </w:rPr>
        <w:t>ік матеріалів детального плану території (склад проекту).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Детальний план території містить графічні і текстові матеріали:</w:t>
      </w:r>
    </w:p>
    <w:p w:rsidR="00C17F48" w:rsidRPr="00CC5EA0" w:rsidRDefault="00EE1F23" w:rsidP="00CC5EA0">
      <w:pPr>
        <w:pStyle w:val="a7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Склад графічних матеріалів детального плану території із зазначенням масштабів креслень наведено у таблиці 1.</w:t>
      </w:r>
    </w:p>
    <w:p w:rsidR="00C17F48" w:rsidRDefault="00EE1F23" w:rsidP="00CC5EA0">
      <w:pPr>
        <w:pStyle w:val="a7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Текстові матеріали детального плану відповідають графічним матеріалам та викладені у пояснювальній записці.</w:t>
      </w:r>
    </w:p>
    <w:p w:rsidR="00B67976" w:rsidRPr="00B67976" w:rsidRDefault="00B67976" w:rsidP="00B6797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F48" w:rsidRPr="000141DC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1DC">
        <w:rPr>
          <w:rFonts w:ascii="Times New Roman" w:hAnsi="Times New Roman" w:cs="Times New Roman"/>
          <w:b/>
          <w:sz w:val="24"/>
          <w:szCs w:val="24"/>
          <w:lang w:val="uk-UA"/>
        </w:rPr>
        <w:t>Стислий опис природних, соціально-економічних і містобудівних умов.</w:t>
      </w: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Місцеположення і рельєф</w:t>
      </w:r>
    </w:p>
    <w:p w:rsidR="000C5D71" w:rsidRPr="000C5D71" w:rsidRDefault="000C5D71" w:rsidP="000C5D71">
      <w:pPr>
        <w:pStyle w:val="ad"/>
        <w:shd w:val="clear" w:color="auto" w:fill="FFFFFF"/>
        <w:spacing w:before="120" w:beforeAutospacing="0" w:after="120" w:afterAutospacing="0"/>
        <w:ind w:firstLine="709"/>
        <w:jc w:val="both"/>
        <w:rPr>
          <w:lang w:val="uk-UA"/>
        </w:rPr>
      </w:pPr>
      <w:proofErr w:type="spellStart"/>
      <w:r w:rsidRPr="000C5D71">
        <w:rPr>
          <w:b/>
          <w:bCs/>
          <w:lang w:val="uk-UA"/>
        </w:rPr>
        <w:t>Саджа́вка</w:t>
      </w:r>
      <w:proofErr w:type="spellEnd"/>
      <w:r w:rsidRPr="000C5D71">
        <w:t> </w:t>
      </w:r>
      <w:r w:rsidRPr="000C5D71">
        <w:rPr>
          <w:lang w:val="uk-UA"/>
        </w:rPr>
        <w:t>— село</w:t>
      </w:r>
      <w:r w:rsidRPr="000C5D71">
        <w:t> </w:t>
      </w:r>
      <w:hyperlink r:id="rId5" w:tooltip="Надвірнянський район" w:history="1">
        <w:r>
          <w:rPr>
            <w:rStyle w:val="ac"/>
            <w:color w:val="auto"/>
            <w:u w:val="none"/>
            <w:lang w:val="uk-UA"/>
          </w:rPr>
          <w:t>Коломийської</w:t>
        </w:r>
      </w:hyperlink>
      <w:r>
        <w:rPr>
          <w:lang w:val="uk-UA"/>
        </w:rPr>
        <w:t xml:space="preserve"> міської об’єднаної територіальної громади </w:t>
      </w:r>
      <w:r w:rsidRPr="000C5D71">
        <w:t> </w:t>
      </w:r>
      <w:r w:rsidRPr="000C5D71">
        <w:rPr>
          <w:lang w:val="uk-UA"/>
        </w:rPr>
        <w:t>Івано-Франківської області на березі річки</w:t>
      </w:r>
      <w:r w:rsidRPr="000C5D71">
        <w:t> </w:t>
      </w:r>
      <w:hyperlink r:id="rId6" w:tooltip="Прут (річка)" w:history="1">
        <w:r w:rsidRPr="000C5D71">
          <w:rPr>
            <w:rStyle w:val="ac"/>
            <w:color w:val="auto"/>
            <w:u w:val="none"/>
            <w:lang w:val="uk-UA"/>
          </w:rPr>
          <w:t>Прут</w:t>
        </w:r>
      </w:hyperlink>
      <w:r w:rsidRPr="000C5D71">
        <w:rPr>
          <w:lang w:val="uk-UA"/>
        </w:rPr>
        <w:t>.</w:t>
      </w:r>
    </w:p>
    <w:p w:rsidR="000C5D71" w:rsidRDefault="000C5D71" w:rsidP="000C5D71">
      <w:pPr>
        <w:pStyle w:val="ad"/>
        <w:shd w:val="clear" w:color="auto" w:fill="FFFFFF"/>
        <w:spacing w:before="120" w:beforeAutospacing="0" w:after="120" w:afterAutospacing="0"/>
        <w:ind w:firstLine="709"/>
        <w:jc w:val="both"/>
      </w:pPr>
      <w:r w:rsidRPr="000C5D71">
        <w:t xml:space="preserve">Через село </w:t>
      </w:r>
      <w:proofErr w:type="spellStart"/>
      <w:r w:rsidRPr="000C5D71">
        <w:t>протікає</w:t>
      </w:r>
      <w:proofErr w:type="spellEnd"/>
      <w:r w:rsidRPr="000C5D71">
        <w:t xml:space="preserve"> </w:t>
      </w:r>
      <w:proofErr w:type="spellStart"/>
      <w:r w:rsidRPr="000C5D71">
        <w:t>річка</w:t>
      </w:r>
      <w:proofErr w:type="spellEnd"/>
      <w:r w:rsidRPr="000C5D71">
        <w:t> </w:t>
      </w:r>
      <w:proofErr w:type="spellStart"/>
      <w:r w:rsidRPr="000C5D71">
        <w:fldChar w:fldCharType="begin"/>
      </w:r>
      <w:r w:rsidRPr="000C5D71">
        <w:instrText xml:space="preserve"> HYPERLINK "https://uk.wikipedia.org/w/index.php?title=%D0%A1%D0%B0%D0%B4%D0%B6%D0%B0%D0%B2%D0%BE%D1%87%D0%BA%D0%B0&amp;action=edit&amp;redlink=1" \o "Саджавочка (ще не написана)" </w:instrText>
      </w:r>
      <w:r w:rsidRPr="000C5D71">
        <w:fldChar w:fldCharType="separate"/>
      </w:r>
      <w:r w:rsidRPr="000C5D71">
        <w:rPr>
          <w:rStyle w:val="ac"/>
          <w:color w:val="auto"/>
          <w:u w:val="none"/>
        </w:rPr>
        <w:t>Саджавочка</w:t>
      </w:r>
      <w:proofErr w:type="spellEnd"/>
      <w:r w:rsidRPr="000C5D71">
        <w:fldChar w:fldCharType="end"/>
      </w:r>
      <w:r w:rsidRPr="000C5D71">
        <w:t xml:space="preserve"> та проходить </w:t>
      </w:r>
      <w:proofErr w:type="spellStart"/>
      <w:r w:rsidRPr="000C5D71">
        <w:t>шосейна</w:t>
      </w:r>
      <w:proofErr w:type="spellEnd"/>
      <w:r w:rsidRPr="000C5D71">
        <w:t xml:space="preserve"> дорога й </w:t>
      </w:r>
      <w:proofErr w:type="spellStart"/>
      <w:r w:rsidRPr="000C5D71">
        <w:t>залізниця</w:t>
      </w:r>
      <w:proofErr w:type="spellEnd"/>
      <w:r w:rsidRPr="000C5D71">
        <w:t> </w:t>
      </w:r>
      <w:proofErr w:type="spellStart"/>
      <w:r w:rsidRPr="000C5D71">
        <w:fldChar w:fldCharType="begin"/>
      </w:r>
      <w:r w:rsidRPr="000C5D71">
        <w:instrText xml:space="preserve"> HYPERLINK "https://uk.wikipedia.org/wiki/%D0%9A%D0%BE%D0%BB%D0%BE%D0%BC%D0%B8%D1%8F" \o "Коломия" </w:instrText>
      </w:r>
      <w:r w:rsidRPr="000C5D71">
        <w:fldChar w:fldCharType="separate"/>
      </w:r>
      <w:r w:rsidRPr="000C5D71">
        <w:rPr>
          <w:rStyle w:val="ac"/>
          <w:color w:val="auto"/>
          <w:u w:val="none"/>
        </w:rPr>
        <w:t>Коломия</w:t>
      </w:r>
      <w:proofErr w:type="spellEnd"/>
      <w:r w:rsidRPr="000C5D71">
        <w:fldChar w:fldCharType="end"/>
      </w:r>
      <w:r w:rsidRPr="000C5D71">
        <w:t>—</w:t>
      </w:r>
      <w:proofErr w:type="spellStart"/>
      <w:r w:rsidRPr="000C5D71">
        <w:fldChar w:fldCharType="begin"/>
      </w:r>
      <w:r w:rsidRPr="000C5D71">
        <w:instrText xml:space="preserve"> HYPERLINK "https://uk.wikipedia.org/wiki/%D0%94%D0%B5%D0%BB%D1%8F%D1%82%D0%B8%D0%BD" \o "Делятин" </w:instrText>
      </w:r>
      <w:r w:rsidRPr="000C5D71">
        <w:fldChar w:fldCharType="separate"/>
      </w:r>
      <w:r w:rsidRPr="000C5D71">
        <w:rPr>
          <w:rStyle w:val="ac"/>
          <w:color w:val="auto"/>
          <w:u w:val="none"/>
        </w:rPr>
        <w:t>Делятин</w:t>
      </w:r>
      <w:proofErr w:type="spellEnd"/>
      <w:r w:rsidRPr="000C5D71">
        <w:fldChar w:fldCharType="end"/>
      </w:r>
      <w:r w:rsidRPr="000C5D71">
        <w:t xml:space="preserve">. </w:t>
      </w:r>
      <w:proofErr w:type="spellStart"/>
      <w:r w:rsidRPr="000C5D71">
        <w:t>Віддаль</w:t>
      </w:r>
      <w:proofErr w:type="spellEnd"/>
      <w:r w:rsidRPr="000C5D71">
        <w:t xml:space="preserve"> до </w:t>
      </w:r>
      <w:proofErr w:type="spellStart"/>
      <w:r>
        <w:rPr>
          <w:lang w:val="uk-UA"/>
        </w:rPr>
        <w:t>м.Коломия</w:t>
      </w:r>
      <w:proofErr w:type="spellEnd"/>
      <w:r w:rsidRPr="000C5D71">
        <w:t> — 2</w:t>
      </w:r>
      <w:r>
        <w:rPr>
          <w:lang w:val="uk-UA"/>
        </w:rPr>
        <w:t>0</w:t>
      </w:r>
      <w:r>
        <w:t> км.</w:t>
      </w:r>
    </w:p>
    <w:p w:rsidR="000C5D71" w:rsidRDefault="000C5D71" w:rsidP="000C5D71">
      <w:pPr>
        <w:pStyle w:val="ad"/>
        <w:shd w:val="clear" w:color="auto" w:fill="FFFFFF"/>
        <w:spacing w:before="120" w:beforeAutospacing="0" w:after="120" w:afterAutospacing="0"/>
        <w:ind w:firstLine="709"/>
        <w:jc w:val="both"/>
        <w:rPr>
          <w:shd w:val="clear" w:color="auto" w:fill="FFFFFF"/>
        </w:rPr>
      </w:pPr>
      <w:proofErr w:type="spellStart"/>
      <w:r w:rsidRPr="000C5D71">
        <w:rPr>
          <w:shd w:val="clear" w:color="auto" w:fill="FFFFFF"/>
        </w:rPr>
        <w:t>Вперше</w:t>
      </w:r>
      <w:proofErr w:type="spellEnd"/>
      <w:r w:rsidRPr="000C5D71">
        <w:rPr>
          <w:shd w:val="clear" w:color="auto" w:fill="FFFFFF"/>
        </w:rPr>
        <w:t xml:space="preserve"> село </w:t>
      </w:r>
      <w:proofErr w:type="spellStart"/>
      <w:r w:rsidRPr="000C5D71">
        <w:rPr>
          <w:shd w:val="clear" w:color="auto" w:fill="FFFFFF"/>
        </w:rPr>
        <w:t>згадується</w:t>
      </w:r>
      <w:proofErr w:type="spellEnd"/>
      <w:r w:rsidRPr="000C5D71">
        <w:rPr>
          <w:shd w:val="clear" w:color="auto" w:fill="FFFFFF"/>
        </w:rPr>
        <w:t xml:space="preserve"> в документах </w:t>
      </w:r>
      <w:hyperlink r:id="rId7" w:tooltip="1400" w:history="1">
        <w:r w:rsidRPr="000C5D71">
          <w:rPr>
            <w:rStyle w:val="ac"/>
            <w:color w:val="auto"/>
            <w:u w:val="none"/>
            <w:shd w:val="clear" w:color="auto" w:fill="FFFFFF"/>
          </w:rPr>
          <w:t>1400</w:t>
        </w:r>
      </w:hyperlink>
      <w:r w:rsidRPr="000C5D71">
        <w:rPr>
          <w:shd w:val="clear" w:color="auto" w:fill="FFFFFF"/>
        </w:rPr>
        <w:t xml:space="preserve"> року. </w:t>
      </w:r>
      <w:proofErr w:type="spellStart"/>
      <w:r w:rsidRPr="000C5D71">
        <w:rPr>
          <w:shd w:val="clear" w:color="auto" w:fill="FFFFFF"/>
        </w:rPr>
        <w:t>Назва</w:t>
      </w:r>
      <w:proofErr w:type="spellEnd"/>
      <w:r w:rsidRPr="000C5D71">
        <w:rPr>
          <w:shd w:val="clear" w:color="auto" w:fill="FFFFFF"/>
        </w:rPr>
        <w:t xml:space="preserve"> </w:t>
      </w:r>
      <w:proofErr w:type="spellStart"/>
      <w:r w:rsidRPr="000C5D71">
        <w:rPr>
          <w:shd w:val="clear" w:color="auto" w:fill="FFFFFF"/>
        </w:rPr>
        <w:t>річки</w:t>
      </w:r>
      <w:proofErr w:type="spellEnd"/>
      <w:r w:rsidRPr="000C5D71">
        <w:rPr>
          <w:shd w:val="clear" w:color="auto" w:fill="FFFFFF"/>
        </w:rPr>
        <w:t xml:space="preserve"> дала </w:t>
      </w:r>
      <w:proofErr w:type="spellStart"/>
      <w:r w:rsidRPr="000C5D71">
        <w:rPr>
          <w:shd w:val="clear" w:color="auto" w:fill="FFFFFF"/>
        </w:rPr>
        <w:t>назву</w:t>
      </w:r>
      <w:proofErr w:type="spellEnd"/>
      <w:r w:rsidRPr="000C5D71">
        <w:rPr>
          <w:shd w:val="clear" w:color="auto" w:fill="FFFFFF"/>
        </w:rPr>
        <w:t xml:space="preserve"> селу.</w:t>
      </w:r>
    </w:p>
    <w:p w:rsidR="000C5D71" w:rsidRDefault="000C5D71" w:rsidP="000C5D71">
      <w:pPr>
        <w:pStyle w:val="ad"/>
        <w:shd w:val="clear" w:color="auto" w:fill="FFFFFF"/>
        <w:spacing w:before="120" w:beforeAutospacing="0" w:after="12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Соціальна сфера представлена</w:t>
      </w:r>
      <w:r w:rsidRPr="000C5D71">
        <w:rPr>
          <w:shd w:val="clear" w:color="auto" w:fill="FFFFFF"/>
        </w:rPr>
        <w:t xml:space="preserve"> </w:t>
      </w:r>
      <w:proofErr w:type="spellStart"/>
      <w:r w:rsidRPr="000C5D71">
        <w:rPr>
          <w:shd w:val="clear" w:color="auto" w:fill="FFFFFF"/>
        </w:rPr>
        <w:t>загальноосвітн</w:t>
      </w:r>
      <w:r>
        <w:rPr>
          <w:shd w:val="clear" w:color="auto" w:fill="FFFFFF"/>
          <w:lang w:val="uk-UA"/>
        </w:rPr>
        <w:t>ьою</w:t>
      </w:r>
      <w:proofErr w:type="spellEnd"/>
      <w:r w:rsidRPr="000C5D71">
        <w:rPr>
          <w:shd w:val="clear" w:color="auto" w:fill="FFFFFF"/>
        </w:rPr>
        <w:t xml:space="preserve"> школ</w:t>
      </w:r>
      <w:proofErr w:type="spellStart"/>
      <w:r>
        <w:rPr>
          <w:shd w:val="clear" w:color="auto" w:fill="FFFFFF"/>
          <w:lang w:val="uk-UA"/>
        </w:rPr>
        <w:t>ою</w:t>
      </w:r>
      <w:proofErr w:type="spellEnd"/>
      <w:r w:rsidRPr="000C5D71">
        <w:rPr>
          <w:shd w:val="clear" w:color="auto" w:fill="FFFFFF"/>
        </w:rPr>
        <w:t xml:space="preserve"> I–III </w:t>
      </w:r>
      <w:proofErr w:type="spellStart"/>
      <w:r w:rsidRPr="000C5D71">
        <w:rPr>
          <w:shd w:val="clear" w:color="auto" w:fill="FFFFFF"/>
        </w:rPr>
        <w:t>ступенів</w:t>
      </w:r>
      <w:proofErr w:type="spellEnd"/>
      <w:r w:rsidRPr="000C5D71">
        <w:rPr>
          <w:shd w:val="clear" w:color="auto" w:fill="FFFFFF"/>
        </w:rPr>
        <w:t xml:space="preserve">, </w:t>
      </w:r>
      <w:proofErr w:type="spellStart"/>
      <w:r w:rsidRPr="000C5D71">
        <w:rPr>
          <w:shd w:val="clear" w:color="auto" w:fill="FFFFFF"/>
        </w:rPr>
        <w:t>дитячи</w:t>
      </w:r>
      <w:proofErr w:type="spellEnd"/>
      <w:r>
        <w:rPr>
          <w:shd w:val="clear" w:color="auto" w:fill="FFFFFF"/>
          <w:lang w:val="uk-UA"/>
        </w:rPr>
        <w:t>м</w:t>
      </w:r>
      <w:r w:rsidRPr="000C5D71">
        <w:rPr>
          <w:shd w:val="clear" w:color="auto" w:fill="FFFFFF"/>
        </w:rPr>
        <w:t xml:space="preserve"> </w:t>
      </w:r>
      <w:proofErr w:type="spellStart"/>
      <w:r w:rsidRPr="000C5D71">
        <w:rPr>
          <w:shd w:val="clear" w:color="auto" w:fill="FFFFFF"/>
        </w:rPr>
        <w:t>садк</w:t>
      </w:r>
      <w:r>
        <w:rPr>
          <w:shd w:val="clear" w:color="auto" w:fill="FFFFFF"/>
          <w:lang w:val="uk-UA"/>
        </w:rPr>
        <w:t>ом</w:t>
      </w:r>
      <w:proofErr w:type="spellEnd"/>
      <w:r w:rsidRPr="000C5D71">
        <w:rPr>
          <w:shd w:val="clear" w:color="auto" w:fill="FFFFFF"/>
        </w:rPr>
        <w:t xml:space="preserve"> «</w:t>
      </w:r>
      <w:proofErr w:type="spellStart"/>
      <w:r w:rsidRPr="000C5D71">
        <w:rPr>
          <w:shd w:val="clear" w:color="auto" w:fill="FFFFFF"/>
        </w:rPr>
        <w:t>Дударик</w:t>
      </w:r>
      <w:proofErr w:type="spellEnd"/>
      <w:r w:rsidRPr="000C5D71">
        <w:rPr>
          <w:shd w:val="clear" w:color="auto" w:fill="FFFFFF"/>
        </w:rPr>
        <w:t>»,</w:t>
      </w:r>
      <w:r>
        <w:rPr>
          <w:shd w:val="clear" w:color="auto" w:fill="FFFFFF"/>
          <w:lang w:val="uk-UA"/>
        </w:rPr>
        <w:t xml:space="preserve"> </w:t>
      </w:r>
      <w:hyperlink r:id="rId8" w:tooltip="Будинок культури" w:history="1">
        <w:proofErr w:type="spellStart"/>
        <w:r>
          <w:rPr>
            <w:rStyle w:val="ac"/>
            <w:color w:val="auto"/>
            <w:u w:val="none"/>
            <w:shd w:val="clear" w:color="auto" w:fill="FFFFFF"/>
          </w:rPr>
          <w:t>будин</w:t>
        </w:r>
        <w:r w:rsidRPr="000C5D71">
          <w:rPr>
            <w:rStyle w:val="ac"/>
            <w:color w:val="auto"/>
            <w:u w:val="none"/>
            <w:shd w:val="clear" w:color="auto" w:fill="FFFFFF"/>
          </w:rPr>
          <w:t>к</w:t>
        </w:r>
        <w:r>
          <w:rPr>
            <w:rStyle w:val="ac"/>
            <w:color w:val="auto"/>
            <w:u w:val="none"/>
            <w:shd w:val="clear" w:color="auto" w:fill="FFFFFF"/>
            <w:lang w:val="uk-UA"/>
          </w:rPr>
          <w:t>ом</w:t>
        </w:r>
        <w:proofErr w:type="spellEnd"/>
        <w:r>
          <w:rPr>
            <w:rStyle w:val="ac"/>
            <w:color w:val="auto"/>
            <w:u w:val="none"/>
            <w:shd w:val="clear" w:color="auto" w:fill="FFFFFF"/>
            <w:lang w:val="uk-UA"/>
          </w:rPr>
          <w:t xml:space="preserve"> </w:t>
        </w:r>
        <w:proofErr w:type="spellStart"/>
        <w:r w:rsidRPr="000C5D71">
          <w:rPr>
            <w:rStyle w:val="ac"/>
            <w:color w:val="auto"/>
            <w:u w:val="none"/>
            <w:shd w:val="clear" w:color="auto" w:fill="FFFFFF"/>
          </w:rPr>
          <w:t>культури</w:t>
        </w:r>
        <w:proofErr w:type="spellEnd"/>
      </w:hyperlink>
      <w:r w:rsidRPr="000C5D71">
        <w:rPr>
          <w:shd w:val="clear" w:color="auto" w:fill="FFFFFF"/>
        </w:rPr>
        <w:t>,</w:t>
      </w:r>
      <w:r>
        <w:rPr>
          <w:shd w:val="clear" w:color="auto" w:fill="FFFFFF"/>
          <w:lang w:val="uk-UA"/>
        </w:rPr>
        <w:t xml:space="preserve"> бібліотек</w:t>
      </w:r>
      <w:hyperlink r:id="rId9" w:tooltip="Бібліотека" w:history="1">
        <w:r>
          <w:rPr>
            <w:rStyle w:val="ac"/>
            <w:color w:val="auto"/>
            <w:u w:val="none"/>
            <w:shd w:val="clear" w:color="auto" w:fill="FFFFFF"/>
            <w:lang w:val="uk-UA"/>
          </w:rPr>
          <w:t>ою</w:t>
        </w:r>
      </w:hyperlink>
      <w:r w:rsidRPr="000C5D71">
        <w:rPr>
          <w:shd w:val="clear" w:color="auto" w:fill="FFFFFF"/>
        </w:rPr>
        <w:t>,</w:t>
      </w:r>
      <w:r>
        <w:rPr>
          <w:shd w:val="clear" w:color="auto" w:fill="FFFFFF"/>
          <w:lang w:val="uk-UA"/>
        </w:rPr>
        <w:t xml:space="preserve"> </w:t>
      </w:r>
      <w:hyperlink r:id="rId10" w:tooltip="Відділення зв'язку" w:history="1">
        <w:proofErr w:type="spellStart"/>
        <w:r w:rsidRPr="000C5D71">
          <w:rPr>
            <w:rStyle w:val="ac"/>
            <w:color w:val="auto"/>
            <w:u w:val="none"/>
            <w:shd w:val="clear" w:color="auto" w:fill="FFFFFF"/>
          </w:rPr>
          <w:t>відділення</w:t>
        </w:r>
        <w:proofErr w:type="spellEnd"/>
        <w:r>
          <w:rPr>
            <w:rStyle w:val="ac"/>
            <w:color w:val="auto"/>
            <w:u w:val="none"/>
            <w:shd w:val="clear" w:color="auto" w:fill="FFFFFF"/>
            <w:lang w:val="uk-UA"/>
          </w:rPr>
          <w:t xml:space="preserve">м </w:t>
        </w:r>
        <w:proofErr w:type="spellStart"/>
        <w:r w:rsidRPr="000C5D71">
          <w:rPr>
            <w:rStyle w:val="ac"/>
            <w:color w:val="auto"/>
            <w:u w:val="none"/>
            <w:shd w:val="clear" w:color="auto" w:fill="FFFFFF"/>
          </w:rPr>
          <w:t>зв'язку</w:t>
        </w:r>
        <w:proofErr w:type="spellEnd"/>
      </w:hyperlink>
      <w:r w:rsidRPr="000C5D71">
        <w:rPr>
          <w:shd w:val="clear" w:color="auto" w:fill="FFFFFF"/>
        </w:rPr>
        <w:t>,</w:t>
      </w:r>
      <w:r>
        <w:rPr>
          <w:shd w:val="clear" w:color="auto" w:fill="FFFFFF"/>
          <w:lang w:val="uk-UA"/>
        </w:rPr>
        <w:t xml:space="preserve"> </w:t>
      </w:r>
      <w:hyperlink r:id="rId11" w:tooltip="Фельдшерсько-акушерський пункт" w:history="1">
        <w:proofErr w:type="spellStart"/>
        <w:r>
          <w:rPr>
            <w:rStyle w:val="ac"/>
            <w:color w:val="auto"/>
            <w:u w:val="none"/>
            <w:shd w:val="clear" w:color="auto" w:fill="FFFFFF"/>
          </w:rPr>
          <w:t>фельдшерсько-акушерським</w:t>
        </w:r>
        <w:proofErr w:type="spellEnd"/>
        <w:r w:rsidRPr="000C5D71">
          <w:rPr>
            <w:rStyle w:val="ac"/>
            <w:color w:val="auto"/>
            <w:u w:val="none"/>
            <w:shd w:val="clear" w:color="auto" w:fill="FFFFFF"/>
          </w:rPr>
          <w:t xml:space="preserve"> пункт</w:t>
        </w:r>
      </w:hyperlink>
      <w:r w:rsidRPr="000C5D71">
        <w:rPr>
          <w:shd w:val="clear" w:color="auto" w:fill="FFFFFF"/>
        </w:rPr>
        <w:t>.</w:t>
      </w:r>
      <w:r>
        <w:rPr>
          <w:shd w:val="clear" w:color="auto" w:fill="FFFFFF"/>
          <w:lang w:val="uk-UA"/>
        </w:rPr>
        <w:t xml:space="preserve"> </w:t>
      </w:r>
    </w:p>
    <w:p w:rsidR="000C5D71" w:rsidRPr="000C5D71" w:rsidRDefault="000C5D71" w:rsidP="000C5D71">
      <w:pPr>
        <w:pStyle w:val="ad"/>
        <w:shd w:val="clear" w:color="auto" w:fill="FFFFFF"/>
        <w:spacing w:before="120" w:beforeAutospacing="0" w:after="120" w:afterAutospacing="0"/>
        <w:ind w:firstLine="709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Населення </w:t>
      </w:r>
      <w:proofErr w:type="spellStart"/>
      <w:r>
        <w:rPr>
          <w:shd w:val="clear" w:color="auto" w:fill="FFFFFF"/>
          <w:lang w:val="uk-UA"/>
        </w:rPr>
        <w:t>с.Саджавки</w:t>
      </w:r>
      <w:proofErr w:type="spellEnd"/>
      <w:r>
        <w:rPr>
          <w:shd w:val="clear" w:color="auto" w:fill="FFFFFF"/>
          <w:lang w:val="uk-UA"/>
        </w:rPr>
        <w:t xml:space="preserve"> складає 3 438 </w:t>
      </w:r>
      <w:proofErr w:type="spellStart"/>
      <w:r>
        <w:rPr>
          <w:shd w:val="clear" w:color="auto" w:fill="FFFFFF"/>
          <w:lang w:val="uk-UA"/>
        </w:rPr>
        <w:t>чол</w:t>
      </w:r>
      <w:proofErr w:type="spellEnd"/>
      <w:r>
        <w:rPr>
          <w:shd w:val="clear" w:color="auto" w:fill="FFFFFF"/>
          <w:lang w:val="uk-UA"/>
        </w:rPr>
        <w:t xml:space="preserve">. Які проживають на площі </w:t>
      </w:r>
      <w:r w:rsidRPr="000C5D71">
        <w:rPr>
          <w:shd w:val="clear" w:color="auto" w:fill="F9F9F9"/>
        </w:rPr>
        <w:t>28.773 </w:t>
      </w:r>
      <w:hyperlink r:id="rId12" w:tooltip="Квадратний кілометр" w:history="1">
        <w:r w:rsidRPr="000C5D71">
          <w:rPr>
            <w:rStyle w:val="ac"/>
            <w:color w:val="auto"/>
            <w:u w:val="none"/>
            <w:shd w:val="clear" w:color="auto" w:fill="F9F9F9"/>
          </w:rPr>
          <w:t>км²</w:t>
        </w:r>
      </w:hyperlink>
      <w:r>
        <w:rPr>
          <w:lang w:val="uk-UA"/>
        </w:rPr>
        <w:t>.</w:t>
      </w:r>
    </w:p>
    <w:p w:rsidR="001C207F" w:rsidRPr="001C207F" w:rsidRDefault="000C5D71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1C207F">
        <w:rPr>
          <w:rFonts w:ascii="Times New Roman" w:hAnsi="Times New Roman" w:cs="Times New Roman"/>
          <w:sz w:val="24"/>
          <w:szCs w:val="24"/>
          <w:lang w:val="uk-UA"/>
        </w:rPr>
        <w:t xml:space="preserve">ериторія на яку розробляється детальний план </w:t>
      </w:r>
      <w:r w:rsidR="001C207F" w:rsidRPr="00D23052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розташована в </w:t>
      </w:r>
      <w:r w:rsidR="00FF51DA">
        <w:rPr>
          <w:rFonts w:ascii="Times New Roman" w:hAnsi="Times New Roman" w:cs="Times New Roman"/>
          <w:sz w:val="24"/>
          <w:szCs w:val="24"/>
          <w:lang w:val="uk-UA"/>
        </w:rPr>
        <w:t>східній</w:t>
      </w:r>
      <w:r w:rsidR="001C207F" w:rsidRPr="00D23052">
        <w:rPr>
          <w:rFonts w:ascii="Times New Roman" w:hAnsi="Times New Roman" w:cs="Times New Roman"/>
          <w:sz w:val="24"/>
          <w:szCs w:val="24"/>
          <w:lang w:val="uk-UA"/>
        </w:rPr>
        <w:t xml:space="preserve"> частині с</w:t>
      </w:r>
      <w:r w:rsidR="00CF798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C207F" w:rsidRPr="00D230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292A">
        <w:rPr>
          <w:rFonts w:ascii="Times New Roman" w:hAnsi="Times New Roman" w:cs="Times New Roman"/>
          <w:sz w:val="24"/>
          <w:szCs w:val="24"/>
          <w:lang w:val="uk-UA"/>
        </w:rPr>
        <w:t>Саджавка</w:t>
      </w:r>
      <w:proofErr w:type="spellEnd"/>
      <w:r w:rsidR="000145FF" w:rsidRPr="00D23052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FF51DA">
        <w:rPr>
          <w:rFonts w:ascii="Times New Roman" w:hAnsi="Times New Roman" w:cs="Times New Roman"/>
          <w:sz w:val="24"/>
          <w:szCs w:val="24"/>
          <w:lang w:val="uk-UA"/>
        </w:rPr>
        <w:t>Черемшини</w:t>
      </w:r>
      <w:r w:rsidR="000145FF" w:rsidRPr="00D2305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Клімат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Клімат території помірно-континентальний. Населений пункт знаходиться на межі достатньо зволоженого теплого повітря (Прид</w:t>
      </w:r>
      <w:r w:rsidR="009E1A06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істров’я) і надмірного зволоження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помірно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>-теплого  (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Передкарпатське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передгір’я).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Середня максимальна температура найжаркішого місяця за даними Коломийської метеостанції +22,1</w:t>
      </w:r>
      <w:r w:rsidRPr="00CC5EA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0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С, а в найхолодніший місяць -21,7</w:t>
      </w:r>
      <w:r w:rsidRPr="00CC5EA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0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С. Гранична швидкість вітру 10 м/сек. Вітри переважають північно-західні, західні та східні.</w:t>
      </w: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Грунти</w:t>
      </w:r>
      <w:proofErr w:type="spellEnd"/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Територія населеного пункту відноситься до Карпатської гірської області.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Грунтовий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покрив представлений дерново-середньо- і сильно підзолистими поверхнево-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оглеєними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грунтами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.  Механічний склад їх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порохо-легкосуглинистий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. Вміст гумусу невеликий – 2,8-8,0 %, з глибиною відсоток його різко зменшується. В результаті слабого стоку поверхневих вод, особливо весною і восени, ці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грунти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вимагають покращення водоповітряного режиму, для чого використовують гончарний дренаж. Кислотність цих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грунті</w:t>
      </w:r>
      <w:r w:rsidR="009E1A06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висока. На підв</w:t>
      </w:r>
      <w:r w:rsidR="009E1A06">
        <w:rPr>
          <w:rFonts w:ascii="Times New Roman" w:hAnsi="Times New Roman" w:cs="Times New Roman"/>
          <w:sz w:val="24"/>
          <w:szCs w:val="24"/>
          <w:lang w:val="uk-UA"/>
        </w:rPr>
        <w:t xml:space="preserve">ищених елементах рельєфу – </w:t>
      </w:r>
      <w:proofErr w:type="spellStart"/>
      <w:r w:rsidR="009E1A06">
        <w:rPr>
          <w:rFonts w:ascii="Times New Roman" w:hAnsi="Times New Roman" w:cs="Times New Roman"/>
          <w:sz w:val="24"/>
          <w:szCs w:val="24"/>
          <w:lang w:val="uk-UA"/>
        </w:rPr>
        <w:t>водо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роздільних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гребнях, схилах розповсюджені слабо-, середньо- і сильно змиті різновидності цих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грунтів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Геологічна будова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В геологічній будові району приймають участь породи палеозою, мезозою, кайнозою. Породи палеозою залягають на значній глибині. Відклади мезозою представлені юрськими вапняками і конгломератами, крейдяними кременевими піщаниками. Відклади кайнозойської групи представлені породами палеогенової, неогенової і четвертинної систем.</w:t>
      </w: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Гідрологічні умови</w:t>
      </w:r>
    </w:p>
    <w:p w:rsidR="00C17F48" w:rsidRPr="00CC5EA0" w:rsidRDefault="00CF7984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Гідрологічні умови проектованої ділянки</w:t>
      </w:r>
      <w:r w:rsidR="00EE1F23"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характеризуються  наявністю водних горизонтів які залягають на відносно невеликій глибині і відносно легко доступні для експлуатації. До таких відносяться горизонт четвертинних відкладів.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Четвертинний водний горизонт приурочений до пісків і піщано-галечникової товщі алювію в районі річкових долин. Горизонт відрізняється невеликою потужністю, а також і невеликою водо насиченістю. Дебіти свердловин досягають 7-10м</w:t>
      </w:r>
      <w:r w:rsidRPr="00CC5EA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3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/год.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lastRenderedPageBreak/>
        <w:t>Води цього горизонту мають задовільну якість і завдяки відносно неглибокому заляганню, активно експлуатуються місцевим населенням для своїх потреб.</w:t>
      </w: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Інженерно-будівельна оцінка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геологічну і геоморфологічну будову території розроблення детального плану відносяться до територій сприятливих для будівництва, а саме: ухил поверхні складає 0,5 – 8 %.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Грунтові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води залягають на глибинах понад 5м від поверхні і не затоплюються паводками. Заболоченість відсутня. Зсуви,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карсти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, яри,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осідалість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заторфованість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і гірські виробки відсутні. Основою для фундаментів є малопотужні четвертинні відклади, представлені делювіальними суглинками і алювіальними пісками, суглинками і галечниками, у плані інженерно-будівельного освоєння сприятливі, без улаштування штучних основ і складних фундаментів.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Планувальні обмеження, що розповсюджуються на територію розроблення детального плану:</w:t>
      </w:r>
    </w:p>
    <w:p w:rsidR="00C904BF" w:rsidRDefault="00A1292A" w:rsidP="00CC5EA0">
      <w:pPr>
        <w:pStyle w:val="a7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Червоні лінії вулиці</w:t>
      </w:r>
      <w:r w:rsidR="00FF51DA">
        <w:rPr>
          <w:rFonts w:ascii="Times New Roman" w:hAnsi="Times New Roman" w:cs="Times New Roman"/>
          <w:sz w:val="24"/>
          <w:szCs w:val="24"/>
          <w:lang w:val="uk-UA"/>
        </w:rPr>
        <w:t xml:space="preserve">, лінія </w:t>
      </w:r>
      <w:proofErr w:type="spellStart"/>
      <w:r w:rsidR="00FF51DA">
        <w:rPr>
          <w:rFonts w:ascii="Times New Roman" w:hAnsi="Times New Roman" w:cs="Times New Roman"/>
          <w:sz w:val="24"/>
          <w:szCs w:val="24"/>
          <w:lang w:val="uk-UA"/>
        </w:rPr>
        <w:t>електропередач</w:t>
      </w:r>
      <w:proofErr w:type="spellEnd"/>
      <w:r w:rsidR="00FF51DA">
        <w:rPr>
          <w:rFonts w:ascii="Times New Roman" w:hAnsi="Times New Roman" w:cs="Times New Roman"/>
          <w:sz w:val="24"/>
          <w:szCs w:val="24"/>
          <w:lang w:val="uk-UA"/>
        </w:rPr>
        <w:t xml:space="preserve"> 0,4 кВ</w:t>
      </w:r>
      <w:r w:rsidR="00C904B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17F48" w:rsidRPr="00CC5EA0" w:rsidRDefault="00EE1F23" w:rsidP="00CC5EA0">
      <w:pPr>
        <w:pStyle w:val="a7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Інших планувальних обмежень щодо виділення шкідливих речовин, запахів, підвищення рівня шуму, вібрації, ультразвукових та електромагнітних хвиль, електричних полів, іонізуючих випромінювань, тощо на даній ділянці немає;</w:t>
      </w:r>
    </w:p>
    <w:p w:rsidR="00C17F48" w:rsidRPr="00CC5EA0" w:rsidRDefault="00EE1F23" w:rsidP="00CC5EA0">
      <w:pPr>
        <w:pStyle w:val="a7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Водоочисних споруд, об’єктів оздоровчого призначення в районі проектованої ділянки немає;</w:t>
      </w:r>
    </w:p>
    <w:p w:rsidR="00C17F48" w:rsidRPr="00CC5EA0" w:rsidRDefault="00EE1F23" w:rsidP="00CC5EA0">
      <w:pPr>
        <w:pStyle w:val="a7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Зони охорони пам’яток культурної спадщини, археологічних територій, історичного ареалу населеного пункту призначення в районі проектованих ділянок немає;</w:t>
      </w:r>
    </w:p>
    <w:p w:rsidR="00C17F48" w:rsidRPr="00CC5EA0" w:rsidRDefault="00EE1F23" w:rsidP="00CC5EA0">
      <w:pPr>
        <w:pStyle w:val="a7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Інших охоронних зон (навколо особливо цінних природних об’єктів, гідрометеорологічних станцій, уздовж ліній зв’язку, ліній залізниці, тощо) в районі немає;</w:t>
      </w:r>
    </w:p>
    <w:p w:rsidR="00C17F48" w:rsidRPr="00CC5EA0" w:rsidRDefault="00EE1F23" w:rsidP="00CC5EA0">
      <w:pPr>
        <w:pStyle w:val="a7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Особливого режиму використання земель навколо військових об’єктів збройних сил України та інших військових формувань в природній смузі в районі проектованої ділянки немає;</w:t>
      </w:r>
    </w:p>
    <w:p w:rsidR="00C17F48" w:rsidRPr="00CC5EA0" w:rsidRDefault="00EE1F23" w:rsidP="009E1A0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Планувальні обмеження щодо використання земельної ділянки, які виникли в період затвердження містобудівної документації не виникали.</w:t>
      </w:r>
    </w:p>
    <w:p w:rsidR="00C17F48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Дана територія відноситься до 6-ти бальної сейсмічності. Згідно фізико-географічного</w:t>
      </w:r>
      <w:r w:rsidR="00EB06A1">
        <w:rPr>
          <w:rFonts w:ascii="Times New Roman" w:hAnsi="Times New Roman" w:cs="Times New Roman"/>
          <w:sz w:val="24"/>
          <w:szCs w:val="24"/>
          <w:lang w:val="uk-UA"/>
        </w:rPr>
        <w:t xml:space="preserve"> районування територія розроблення детального плану відноситься до </w:t>
      </w:r>
      <w:r w:rsidR="00EB06A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B06A1">
        <w:rPr>
          <w:rFonts w:ascii="Times New Roman" w:hAnsi="Times New Roman" w:cs="Times New Roman"/>
          <w:sz w:val="24"/>
          <w:szCs w:val="24"/>
          <w:lang w:val="uk-UA"/>
        </w:rPr>
        <w:t>-ї зони</w:t>
      </w:r>
      <w:r w:rsidR="00E946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6A1"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(ДБН </w:t>
      </w:r>
      <w:r w:rsidR="00EB06A1">
        <w:rPr>
          <w:rFonts w:ascii="Times New Roman" w:hAnsi="Times New Roman" w:cs="Times New Roman"/>
          <w:sz w:val="24"/>
          <w:szCs w:val="24"/>
          <w:lang w:val="uk-UA"/>
        </w:rPr>
        <w:t>Б.2.2-12:201</w:t>
      </w:r>
      <w:r w:rsidR="00E9465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EB06A1">
        <w:rPr>
          <w:rFonts w:ascii="Times New Roman" w:hAnsi="Times New Roman" w:cs="Times New Roman"/>
          <w:sz w:val="24"/>
          <w:szCs w:val="24"/>
          <w:lang w:val="uk-UA"/>
        </w:rPr>
        <w:t xml:space="preserve"> додаток А</w:t>
      </w:r>
      <w:r w:rsidR="00EB06A1" w:rsidRPr="00CC5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B06A1">
        <w:rPr>
          <w:rFonts w:ascii="Times New Roman" w:hAnsi="Times New Roman" w:cs="Times New Roman"/>
          <w:sz w:val="24"/>
          <w:szCs w:val="24"/>
          <w:lang w:val="uk-UA"/>
        </w:rPr>
        <w:t>, згідно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6A1">
        <w:rPr>
          <w:rFonts w:ascii="Times New Roman" w:hAnsi="Times New Roman" w:cs="Times New Roman"/>
          <w:sz w:val="24"/>
          <w:szCs w:val="24"/>
          <w:lang w:val="uk-UA"/>
        </w:rPr>
        <w:t xml:space="preserve">архітектурно-будівельного 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районування ділянка відноситься ІІ</w:t>
      </w:r>
      <w:r w:rsidR="00CF7984">
        <w:rPr>
          <w:rFonts w:ascii="Times New Roman" w:hAnsi="Times New Roman" w:cs="Times New Roman"/>
          <w:sz w:val="24"/>
          <w:szCs w:val="24"/>
          <w:lang w:val="uk-UA"/>
        </w:rPr>
        <w:t>ІА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кліматичної зони (ДБН </w:t>
      </w:r>
      <w:r w:rsidR="00CF7984">
        <w:rPr>
          <w:rFonts w:ascii="Times New Roman" w:hAnsi="Times New Roman" w:cs="Times New Roman"/>
          <w:sz w:val="24"/>
          <w:szCs w:val="24"/>
          <w:lang w:val="uk-UA"/>
        </w:rPr>
        <w:t>Б.2.2-12:201</w:t>
      </w:r>
      <w:r w:rsidR="00E9465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EB06A1">
        <w:rPr>
          <w:rFonts w:ascii="Times New Roman" w:hAnsi="Times New Roman" w:cs="Times New Roman"/>
          <w:sz w:val="24"/>
          <w:szCs w:val="24"/>
          <w:lang w:val="uk-UA"/>
        </w:rPr>
        <w:t xml:space="preserve"> додаток Б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B67976" w:rsidRPr="00CC5EA0" w:rsidRDefault="00B67976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F48" w:rsidRPr="000141DC" w:rsidRDefault="00EE1F23" w:rsidP="000141DC">
      <w:pPr>
        <w:pStyle w:val="a7"/>
        <w:numPr>
          <w:ilvl w:val="3"/>
          <w:numId w:val="10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1DC">
        <w:rPr>
          <w:rFonts w:ascii="Times New Roman" w:hAnsi="Times New Roman" w:cs="Times New Roman"/>
          <w:b/>
          <w:sz w:val="24"/>
          <w:szCs w:val="24"/>
          <w:lang w:val="uk-UA"/>
        </w:rPr>
        <w:t>Оцінка існуючої ситуації: стану навколишнього середовища, використання території, характеристика (за видами, поверховістю, технічним станом) будівель, об’єктів культурної спадщини, земель історико-культурного призначення, інженерного обладнання, транспорту, озеленення і благоустрою, планувальних обмежень.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Існуючий житловий фонд представлений переважно одноповерховою забудовою. За матеріалами стін переважають цегляні.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Внутрі</w:t>
      </w:r>
      <w:r w:rsidR="009E1A06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ний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транспорт відсутній.</w:t>
      </w:r>
    </w:p>
    <w:p w:rsidR="00C17F48" w:rsidRPr="00CC5EA0" w:rsidRDefault="00FF51DA" w:rsidP="00AE7CA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Територія розроблення детального плану</w:t>
      </w:r>
      <w:r w:rsidR="00EE1F23"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електрифікован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E1F23"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. По території </w:t>
      </w:r>
      <w:r w:rsidR="00AE7CAE">
        <w:rPr>
          <w:rFonts w:ascii="Times New Roman" w:hAnsi="Times New Roman" w:cs="Times New Roman"/>
          <w:sz w:val="24"/>
          <w:szCs w:val="24"/>
          <w:lang w:val="uk-UA"/>
        </w:rPr>
        <w:t>розроблення</w:t>
      </w:r>
      <w:r w:rsidR="00EE1F23"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проходять ЛЕП </w:t>
      </w:r>
      <w:r w:rsidR="00AE7CAE">
        <w:rPr>
          <w:rFonts w:ascii="Times New Roman" w:hAnsi="Times New Roman" w:cs="Times New Roman"/>
          <w:sz w:val="24"/>
          <w:szCs w:val="24"/>
          <w:lang w:val="uk-UA"/>
        </w:rPr>
        <w:t>0,4</w:t>
      </w:r>
      <w:r w:rsidR="00EE1F23"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кВ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Централізована система водопостачання, каналізації і тепло-постачання у населеному пункті відсутні. Населення користується водою з шахтних к</w:t>
      </w:r>
      <w:r w:rsidR="000E6C85">
        <w:rPr>
          <w:rFonts w:ascii="Times New Roman" w:hAnsi="Times New Roman" w:cs="Times New Roman"/>
          <w:sz w:val="24"/>
          <w:szCs w:val="24"/>
          <w:lang w:val="uk-UA"/>
        </w:rPr>
        <w:t>олодязів.</w:t>
      </w:r>
    </w:p>
    <w:p w:rsidR="00C17F48" w:rsidRPr="00CC5EA0" w:rsidRDefault="00C17F48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19E8" w:rsidRPr="00CC5EA0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t>Розподіл територій за функціональним використанням, розміщення забудови на вільних територіях та за рахунок реконструкції, структура забудови, яка пропонується (поверховість, щільність)</w:t>
      </w:r>
    </w:p>
    <w:p w:rsidR="00CE4D3D" w:rsidRPr="00CC5EA0" w:rsidRDefault="00CE4D3D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розроблення детального плану передбачено спорудження </w:t>
      </w:r>
      <w:r w:rsidR="00E94650">
        <w:rPr>
          <w:rFonts w:ascii="Times New Roman" w:hAnsi="Times New Roman" w:cs="Times New Roman"/>
          <w:sz w:val="24"/>
          <w:szCs w:val="24"/>
          <w:lang w:val="uk-UA"/>
        </w:rPr>
        <w:t>житлових будинків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Забудова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таких</w:t>
      </w:r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р</w:t>
      </w:r>
      <w:r w:rsidR="00BC69FE">
        <w:rPr>
          <w:rFonts w:ascii="Times New Roman" w:hAnsi="Times New Roman" w:cs="Times New Roman"/>
          <w:sz w:val="24"/>
          <w:szCs w:val="24"/>
        </w:rPr>
        <w:t>айонів</w:t>
      </w:r>
      <w:proofErr w:type="spellEnd"/>
      <w:r w:rsidR="00BC69FE">
        <w:rPr>
          <w:rFonts w:ascii="Times New Roman" w:hAnsi="Times New Roman" w:cs="Times New Roman"/>
          <w:sz w:val="24"/>
          <w:szCs w:val="24"/>
        </w:rPr>
        <w:t xml:space="preserve"> не повинна </w:t>
      </w:r>
      <w:proofErr w:type="spellStart"/>
      <w:r w:rsidR="00BC69FE">
        <w:rPr>
          <w:rFonts w:ascii="Times New Roman" w:hAnsi="Times New Roman" w:cs="Times New Roman"/>
          <w:sz w:val="24"/>
          <w:szCs w:val="24"/>
        </w:rPr>
        <w:t>перевищувати</w:t>
      </w:r>
      <w:proofErr w:type="spellEnd"/>
      <w:r w:rsidR="00BC69FE">
        <w:rPr>
          <w:rFonts w:ascii="Times New Roman" w:hAnsi="Times New Roman" w:cs="Times New Roman"/>
          <w:sz w:val="24"/>
          <w:szCs w:val="24"/>
        </w:rPr>
        <w:t xml:space="preserve"> </w:t>
      </w:r>
      <w:r w:rsidR="00A1292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C5EA0">
        <w:rPr>
          <w:rFonts w:ascii="Times New Roman" w:hAnsi="Times New Roman" w:cs="Times New Roman"/>
          <w:sz w:val="24"/>
          <w:szCs w:val="24"/>
        </w:rPr>
        <w:t xml:space="preserve">-х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поверхів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E7CAE" w:rsidRDefault="00AE7CAE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524E">
        <w:rPr>
          <w:rFonts w:ascii="Times New Roman" w:hAnsi="Times New Roman" w:cs="Times New Roman"/>
          <w:sz w:val="24"/>
          <w:szCs w:val="24"/>
          <w:lang w:val="uk-UA"/>
        </w:rPr>
        <w:t xml:space="preserve">Розташування і орієнтація житлових та громадських будинків повинні </w:t>
      </w:r>
      <w:proofErr w:type="spellStart"/>
      <w:r w:rsidRPr="00D7524E">
        <w:rPr>
          <w:rFonts w:ascii="Times New Roman" w:hAnsi="Times New Roman" w:cs="Times New Roman"/>
          <w:sz w:val="24"/>
          <w:szCs w:val="24"/>
          <w:lang w:val="uk-UA"/>
        </w:rPr>
        <w:t>здійснюватись</w:t>
      </w:r>
      <w:proofErr w:type="spellEnd"/>
      <w:r w:rsidRPr="00D7524E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забезпечення нормативної тривалості інсоляції та норм освітленості 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ДБН В.2.5-28-2006 «Природне і штучне освітлення»</w:t>
      </w:r>
      <w:r w:rsidRPr="00D7524E">
        <w:rPr>
          <w:rFonts w:ascii="Times New Roman" w:hAnsi="Times New Roman" w:cs="Times New Roman"/>
          <w:sz w:val="24"/>
          <w:szCs w:val="24"/>
          <w:lang w:val="uk-UA"/>
        </w:rPr>
        <w:t xml:space="preserve"> як в будинках, що будуються, так і в сусідніх житлових і громадських будинках.</w:t>
      </w:r>
    </w:p>
    <w:p w:rsidR="00DB19E8" w:rsidRPr="00AE7CAE" w:rsidRDefault="00DB19E8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7CAE">
        <w:rPr>
          <w:rFonts w:ascii="Times New Roman" w:hAnsi="Times New Roman" w:cs="Times New Roman"/>
          <w:sz w:val="24"/>
          <w:szCs w:val="24"/>
          <w:lang w:val="uk-UA"/>
        </w:rPr>
        <w:t xml:space="preserve">Для догляду за будівлями і здійснення їх поточного ремонту відстань до межі сусідньої ділянки від найбільш </w:t>
      </w:r>
      <w:proofErr w:type="spellStart"/>
      <w:r w:rsidRPr="00AE7CAE">
        <w:rPr>
          <w:rFonts w:ascii="Times New Roman" w:hAnsi="Times New Roman" w:cs="Times New Roman"/>
          <w:sz w:val="24"/>
          <w:szCs w:val="24"/>
          <w:lang w:val="uk-UA"/>
        </w:rPr>
        <w:t>виступної</w:t>
      </w:r>
      <w:proofErr w:type="spellEnd"/>
      <w:r w:rsidRPr="00AE7CAE">
        <w:rPr>
          <w:rFonts w:ascii="Times New Roman" w:hAnsi="Times New Roman" w:cs="Times New Roman"/>
          <w:sz w:val="24"/>
          <w:szCs w:val="24"/>
          <w:lang w:val="uk-UA"/>
        </w:rPr>
        <w:t xml:space="preserve"> конструкції стіни треба приймати не менше </w:t>
      </w:r>
      <w:r w:rsidR="00AE7CA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E7CAE">
        <w:rPr>
          <w:rFonts w:ascii="Times New Roman" w:hAnsi="Times New Roman" w:cs="Times New Roman"/>
          <w:sz w:val="24"/>
          <w:szCs w:val="24"/>
          <w:lang w:val="uk-UA"/>
        </w:rPr>
        <w:t xml:space="preserve">,0 м. При цьому повинно бути забезпечене влаштування необхідних інженерно-технічних заходів, що запобігатимуть стіканню атмосферних опадів з покрівель та карнизів будівель на територію суміжних ділянок. </w:t>
      </w:r>
    </w:p>
    <w:p w:rsidR="00DB19E8" w:rsidRPr="00CC5EA0" w:rsidRDefault="00DB19E8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лінії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житловими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будинками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допускається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19E8" w:rsidRPr="00CC5EA0" w:rsidRDefault="00DB19E8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гаражів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передбачати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переважно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вбудованими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прибудованими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до </w:t>
      </w:r>
      <w:r w:rsidR="00BC69FE">
        <w:rPr>
          <w:rFonts w:ascii="Times New Roman" w:hAnsi="Times New Roman" w:cs="Times New Roman"/>
          <w:sz w:val="24"/>
          <w:szCs w:val="24"/>
          <w:lang w:val="uk-UA"/>
        </w:rPr>
        <w:t>садових</w:t>
      </w:r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будинків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лінії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глибині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6EFD" w:rsidRDefault="006C6EFD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Розрахункову щільність населення територій районів садибної забудови слід приймати відповідно до розміру присадибної ділянки наведеної в таблиці 2.</w:t>
      </w:r>
    </w:p>
    <w:p w:rsidR="00CC5EA0" w:rsidRPr="00CC5EA0" w:rsidRDefault="00CC5EA0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4D3D" w:rsidRPr="00CC5EA0" w:rsidRDefault="006C6EFD" w:rsidP="00CC5EA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Таблиця 2. Показники </w:t>
      </w:r>
      <w:proofErr w:type="spellStart"/>
      <w:r w:rsidR="00CE4D3D" w:rsidRPr="00CC5EA0">
        <w:rPr>
          <w:rFonts w:ascii="Times New Roman" w:hAnsi="Times New Roman" w:cs="Times New Roman"/>
          <w:sz w:val="24"/>
          <w:szCs w:val="24"/>
        </w:rPr>
        <w:t>розрахункової</w:t>
      </w:r>
      <w:proofErr w:type="spellEnd"/>
      <w:r w:rsidR="00CE4D3D"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D3D" w:rsidRPr="00CC5EA0">
        <w:rPr>
          <w:rFonts w:ascii="Times New Roman" w:hAnsi="Times New Roman" w:cs="Times New Roman"/>
          <w:sz w:val="24"/>
          <w:szCs w:val="24"/>
        </w:rPr>
        <w:t>щільності</w:t>
      </w:r>
      <w:proofErr w:type="spellEnd"/>
      <w:r w:rsidR="00CE4D3D"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D3D" w:rsidRPr="00CC5EA0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="00CE4D3D" w:rsidRPr="00CC5EA0">
        <w:rPr>
          <w:rFonts w:ascii="Times New Roman" w:hAnsi="Times New Roman" w:cs="Times New Roman"/>
          <w:sz w:val="24"/>
          <w:szCs w:val="24"/>
        </w:rPr>
        <w:t xml:space="preserve"> (брутто) для </w:t>
      </w:r>
      <w:proofErr w:type="spellStart"/>
      <w:r w:rsidR="00CE4D3D" w:rsidRPr="00CC5EA0">
        <w:rPr>
          <w:rFonts w:ascii="Times New Roman" w:hAnsi="Times New Roman" w:cs="Times New Roman"/>
          <w:sz w:val="24"/>
          <w:szCs w:val="24"/>
        </w:rPr>
        <w:t>районів</w:t>
      </w:r>
      <w:proofErr w:type="spellEnd"/>
      <w:r w:rsidR="00CE4D3D"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D3D" w:rsidRPr="00CC5EA0">
        <w:rPr>
          <w:rFonts w:ascii="Times New Roman" w:hAnsi="Times New Roman" w:cs="Times New Roman"/>
          <w:sz w:val="24"/>
          <w:szCs w:val="24"/>
        </w:rPr>
        <w:t>садибної</w:t>
      </w:r>
      <w:proofErr w:type="spellEnd"/>
      <w:r w:rsidR="00CE4D3D"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D3D" w:rsidRPr="00CC5EA0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96"/>
        <w:gridCol w:w="1288"/>
        <w:gridCol w:w="1297"/>
        <w:gridCol w:w="1263"/>
        <w:gridCol w:w="1263"/>
        <w:gridCol w:w="1263"/>
        <w:gridCol w:w="1263"/>
        <w:gridCol w:w="1263"/>
      </w:tblGrid>
      <w:tr w:rsidR="00CE4D3D" w:rsidRPr="00CC5EA0" w:rsidTr="00461128">
        <w:tc>
          <w:tcPr>
            <w:tcW w:w="1302" w:type="dxa"/>
            <w:vMerge w:val="restart"/>
          </w:tcPr>
          <w:p w:rsidR="00CE4D3D" w:rsidRPr="00CC5EA0" w:rsidRDefault="00CE4D3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забудови</w:t>
            </w:r>
            <w:proofErr w:type="spellEnd"/>
          </w:p>
        </w:tc>
        <w:tc>
          <w:tcPr>
            <w:tcW w:w="1302" w:type="dxa"/>
            <w:vMerge w:val="restart"/>
          </w:tcPr>
          <w:p w:rsidR="00CE4D3D" w:rsidRPr="00CC5EA0" w:rsidRDefault="00CE4D3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Розмір ділянки </w:t>
            </w:r>
            <w:proofErr w:type="spellStart"/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303" w:type="dxa"/>
            <w:vMerge w:val="restart"/>
          </w:tcPr>
          <w:p w:rsidR="00CE4D3D" w:rsidRPr="00CC5EA0" w:rsidRDefault="00CE4D3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ділянок на 1 га</w:t>
            </w:r>
          </w:p>
        </w:tc>
        <w:tc>
          <w:tcPr>
            <w:tcW w:w="6515" w:type="dxa"/>
            <w:gridSpan w:val="5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Щільність населення (брутто), люд./га, при середньому складі сім’ї, чол.</w:t>
            </w:r>
          </w:p>
        </w:tc>
      </w:tr>
      <w:tr w:rsidR="00CE4D3D" w:rsidRPr="00CC5EA0" w:rsidTr="00CE4D3D">
        <w:tc>
          <w:tcPr>
            <w:tcW w:w="1302" w:type="dxa"/>
            <w:vMerge/>
          </w:tcPr>
          <w:p w:rsidR="00CE4D3D" w:rsidRPr="00CC5EA0" w:rsidRDefault="00CE4D3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02" w:type="dxa"/>
            <w:vMerge/>
          </w:tcPr>
          <w:p w:rsidR="00CE4D3D" w:rsidRPr="00CC5EA0" w:rsidRDefault="00CE4D3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vMerge/>
          </w:tcPr>
          <w:p w:rsidR="00CE4D3D" w:rsidRPr="00CC5EA0" w:rsidRDefault="00CE4D3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CE4D3D" w:rsidRPr="00CC5EA0" w:rsidTr="00CE4D3D">
        <w:tc>
          <w:tcPr>
            <w:tcW w:w="1302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Садибна</w:t>
            </w:r>
          </w:p>
        </w:tc>
        <w:tc>
          <w:tcPr>
            <w:tcW w:w="1302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5 - 6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10 - 12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15 - 18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20 - 24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25 - 30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30 - 36</w:t>
            </w:r>
          </w:p>
        </w:tc>
      </w:tr>
      <w:tr w:rsidR="00CE4D3D" w:rsidRPr="00CC5EA0" w:rsidTr="00CE4D3D">
        <w:tc>
          <w:tcPr>
            <w:tcW w:w="1302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Садибна</w:t>
            </w:r>
            <w:proofErr w:type="spellEnd"/>
          </w:p>
        </w:tc>
        <w:tc>
          <w:tcPr>
            <w:tcW w:w="1302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6 - 7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12 - 14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18 - 21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24 - 28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30 - 35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36 - 42</w:t>
            </w:r>
          </w:p>
        </w:tc>
      </w:tr>
      <w:tr w:rsidR="00CE4D3D" w:rsidRPr="00CC5EA0" w:rsidTr="00CE4D3D">
        <w:tc>
          <w:tcPr>
            <w:tcW w:w="1302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Садибна</w:t>
            </w:r>
            <w:proofErr w:type="spellEnd"/>
          </w:p>
        </w:tc>
        <w:tc>
          <w:tcPr>
            <w:tcW w:w="1302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8 - 9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17 - 18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26 - 27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34 - 35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43 - 44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51 - 52</w:t>
            </w:r>
          </w:p>
        </w:tc>
      </w:tr>
      <w:tr w:rsidR="00CE4D3D" w:rsidRPr="00CC5EA0" w:rsidTr="00CE4D3D">
        <w:tc>
          <w:tcPr>
            <w:tcW w:w="1302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Садибна</w:t>
            </w:r>
            <w:proofErr w:type="spellEnd"/>
          </w:p>
        </w:tc>
        <w:tc>
          <w:tcPr>
            <w:tcW w:w="1302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13 - 15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28 – 29 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42 - 43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55 - 57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68 - 71</w:t>
            </w:r>
          </w:p>
        </w:tc>
        <w:tc>
          <w:tcPr>
            <w:tcW w:w="1303" w:type="dxa"/>
          </w:tcPr>
          <w:p w:rsidR="00CE4D3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81 - 84</w:t>
            </w:r>
          </w:p>
        </w:tc>
      </w:tr>
      <w:tr w:rsidR="006C6EFD" w:rsidRPr="00CC5EA0" w:rsidTr="00CE4D3D">
        <w:tc>
          <w:tcPr>
            <w:tcW w:w="1302" w:type="dxa"/>
          </w:tcPr>
          <w:p w:rsidR="006C6EF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Садибна</w:t>
            </w:r>
            <w:proofErr w:type="spellEnd"/>
          </w:p>
        </w:tc>
        <w:tc>
          <w:tcPr>
            <w:tcW w:w="1302" w:type="dxa"/>
          </w:tcPr>
          <w:p w:rsidR="006C6EF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303" w:type="dxa"/>
          </w:tcPr>
          <w:p w:rsidR="006C6EF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16 - 17</w:t>
            </w:r>
          </w:p>
        </w:tc>
        <w:tc>
          <w:tcPr>
            <w:tcW w:w="1303" w:type="dxa"/>
          </w:tcPr>
          <w:p w:rsidR="006C6EF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34 – 35 </w:t>
            </w:r>
          </w:p>
        </w:tc>
        <w:tc>
          <w:tcPr>
            <w:tcW w:w="1303" w:type="dxa"/>
          </w:tcPr>
          <w:p w:rsidR="006C6EF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50 - 52</w:t>
            </w:r>
          </w:p>
        </w:tc>
        <w:tc>
          <w:tcPr>
            <w:tcW w:w="1303" w:type="dxa"/>
          </w:tcPr>
          <w:p w:rsidR="006C6EF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66 - 68</w:t>
            </w:r>
          </w:p>
        </w:tc>
        <w:tc>
          <w:tcPr>
            <w:tcW w:w="1303" w:type="dxa"/>
          </w:tcPr>
          <w:p w:rsidR="006C6EF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82 - 84</w:t>
            </w:r>
          </w:p>
        </w:tc>
        <w:tc>
          <w:tcPr>
            <w:tcW w:w="1303" w:type="dxa"/>
          </w:tcPr>
          <w:p w:rsidR="006C6EFD" w:rsidRPr="00CC5EA0" w:rsidRDefault="006C6EFD" w:rsidP="00CC5EA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5EA0">
              <w:rPr>
                <w:rFonts w:ascii="Times New Roman" w:hAnsi="Times New Roman" w:cs="Times New Roman"/>
                <w:sz w:val="24"/>
                <w:szCs w:val="24"/>
              </w:rPr>
              <w:t>97 - 99</w:t>
            </w:r>
          </w:p>
        </w:tc>
      </w:tr>
    </w:tbl>
    <w:p w:rsidR="006C6EFD" w:rsidRPr="00CC5EA0" w:rsidRDefault="006C6EFD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З наведеної таблиці визначено що для території розроблення детального плану розрахункова щільність населення становить 20 – 24 люд. </w:t>
      </w:r>
      <w:r w:rsidR="000E6C85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га</w:t>
      </w:r>
    </w:p>
    <w:p w:rsidR="00DB19E8" w:rsidRPr="00CC5EA0" w:rsidRDefault="00DB19E8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4F87" w:rsidRPr="00894F87" w:rsidRDefault="00EE1F23" w:rsidP="00894F87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видів використання території (житлова, виробнича, рекреаційна, курортна, оздоровча, природоохоронна тощо)</w:t>
      </w:r>
    </w:p>
    <w:p w:rsidR="00DB19E8" w:rsidRPr="00CC5EA0" w:rsidRDefault="00DB19E8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CC5EA0">
        <w:rPr>
          <w:rFonts w:ascii="Times New Roman" w:hAnsi="Times New Roman" w:cs="Times New Roman"/>
          <w:sz w:val="24"/>
          <w:szCs w:val="24"/>
        </w:rPr>
        <w:t>еритор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ія розроблення детального плану відводиться під </w:t>
      </w:r>
      <w:r w:rsidR="00E94650">
        <w:rPr>
          <w:rFonts w:ascii="Times New Roman" w:hAnsi="Times New Roman" w:cs="Times New Roman"/>
          <w:sz w:val="24"/>
          <w:szCs w:val="24"/>
          <w:lang w:val="uk-UA"/>
        </w:rPr>
        <w:t>житлову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забудову. </w:t>
      </w:r>
    </w:p>
    <w:p w:rsidR="00DB19E8" w:rsidRPr="00BC69FE" w:rsidRDefault="00DB19E8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69FE">
        <w:rPr>
          <w:rFonts w:ascii="Times New Roman" w:hAnsi="Times New Roman" w:cs="Times New Roman"/>
          <w:sz w:val="24"/>
          <w:szCs w:val="24"/>
          <w:lang w:val="uk-UA"/>
        </w:rPr>
        <w:t xml:space="preserve">Поверховість забудови, граничні розміри </w:t>
      </w:r>
      <w:r w:rsidR="00E94650">
        <w:rPr>
          <w:rFonts w:ascii="Times New Roman" w:hAnsi="Times New Roman" w:cs="Times New Roman"/>
          <w:sz w:val="24"/>
          <w:szCs w:val="24"/>
          <w:lang w:val="uk-UA"/>
        </w:rPr>
        <w:t>житлових</w:t>
      </w:r>
      <w:r w:rsidRPr="00BC69FE">
        <w:rPr>
          <w:rFonts w:ascii="Times New Roman" w:hAnsi="Times New Roman" w:cs="Times New Roman"/>
          <w:sz w:val="24"/>
          <w:szCs w:val="24"/>
          <w:lang w:val="uk-UA"/>
        </w:rPr>
        <w:t xml:space="preserve"> будинків, площа забудови, вимоги до господарських будівель, їх складу, огорожі ділянок, благоустрою території встановлюються </w:t>
      </w:r>
      <w:r w:rsidR="00E94650">
        <w:rPr>
          <w:rFonts w:ascii="Times New Roman" w:hAnsi="Times New Roman" w:cs="Times New Roman"/>
          <w:sz w:val="24"/>
          <w:szCs w:val="24"/>
          <w:lang w:val="uk-UA"/>
        </w:rPr>
        <w:t>будівельними нормами</w:t>
      </w:r>
      <w:r w:rsidRPr="00BC69FE">
        <w:rPr>
          <w:rFonts w:ascii="Times New Roman" w:hAnsi="Times New Roman" w:cs="Times New Roman"/>
          <w:sz w:val="24"/>
          <w:szCs w:val="24"/>
          <w:lang w:val="uk-UA"/>
        </w:rPr>
        <w:t xml:space="preserve"> в залежності від розміру ділянок, умов інженерного обладнання, інсоляції будинків та територій, інших нормативних вимог, регіональних традицій. </w:t>
      </w:r>
    </w:p>
    <w:p w:rsidR="00CC5EA0" w:rsidRPr="00D531B3" w:rsidRDefault="00DB19E8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C69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5EA0" w:rsidRPr="00D531B3">
        <w:rPr>
          <w:rFonts w:ascii="Times New Roman" w:hAnsi="Times New Roman" w:cs="Times New Roman"/>
          <w:i/>
          <w:sz w:val="24"/>
          <w:szCs w:val="24"/>
          <w:lang w:val="uk-UA"/>
        </w:rPr>
        <w:t>Параметри забудови:</w:t>
      </w:r>
    </w:p>
    <w:p w:rsidR="00CC5EA0" w:rsidRPr="00D531B3" w:rsidRDefault="00CC5EA0" w:rsidP="00CC5EA0">
      <w:pPr>
        <w:tabs>
          <w:tab w:val="left" w:pos="720"/>
          <w:tab w:val="left" w:pos="1134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D531B3">
        <w:rPr>
          <w:rFonts w:ascii="Times New Roman" w:hAnsi="Times New Roman" w:cs="Times New Roman"/>
          <w:sz w:val="24"/>
          <w:szCs w:val="24"/>
          <w:lang w:val="uk-UA"/>
        </w:rPr>
        <w:t>Розмір земельної ділянки:</w:t>
      </w:r>
      <w:r w:rsidR="00E946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1B61">
        <w:rPr>
          <w:rFonts w:ascii="Times New Roman" w:hAnsi="Times New Roman" w:cs="Times New Roman"/>
          <w:sz w:val="24"/>
          <w:szCs w:val="24"/>
          <w:lang w:val="uk-UA"/>
        </w:rPr>
        <w:t>0,</w:t>
      </w:r>
      <w:r w:rsidR="0021422A">
        <w:rPr>
          <w:rFonts w:ascii="Times New Roman" w:hAnsi="Times New Roman" w:cs="Times New Roman"/>
          <w:sz w:val="24"/>
          <w:szCs w:val="24"/>
          <w:lang w:val="uk-UA"/>
        </w:rPr>
        <w:t>2500</w:t>
      </w:r>
      <w:r w:rsidR="00A1292A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Pr="00D531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0E6C85" w:rsidRDefault="00CC5EA0" w:rsidP="00CC5EA0">
      <w:pPr>
        <w:tabs>
          <w:tab w:val="left" w:pos="720"/>
          <w:tab w:val="left" w:pos="1134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Мінімальна відстань від межі земельної ділянки до будівель: від межі суміжної  ділянки до основної будівлі  – не менше </w:t>
      </w:r>
      <w:r w:rsidR="0021422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0E6C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C5EA0" w:rsidRPr="00CC5EA0" w:rsidRDefault="00CC5EA0" w:rsidP="00CC5EA0">
      <w:pPr>
        <w:tabs>
          <w:tab w:val="left" w:pos="720"/>
          <w:tab w:val="left" w:pos="1134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Коефіцієнт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для </w:t>
      </w:r>
      <w:r w:rsidR="00BC69FE">
        <w:rPr>
          <w:rFonts w:ascii="Times New Roman" w:hAnsi="Times New Roman" w:cs="Times New Roman"/>
          <w:sz w:val="24"/>
          <w:szCs w:val="24"/>
          <w:lang w:val="uk-UA"/>
        </w:rPr>
        <w:t>сад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будинків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садибного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типу не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0,</w:t>
      </w:r>
      <w:r w:rsidR="00B81B61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C5EA0">
        <w:rPr>
          <w:rFonts w:ascii="Times New Roman" w:hAnsi="Times New Roman" w:cs="Times New Roman"/>
          <w:sz w:val="24"/>
          <w:szCs w:val="24"/>
        </w:rPr>
        <w:t>.</w:t>
      </w:r>
    </w:p>
    <w:p w:rsidR="00CC5EA0" w:rsidRPr="00CC5EA0" w:rsidRDefault="00CC5EA0" w:rsidP="00CC5EA0">
      <w:pPr>
        <w:tabs>
          <w:tab w:val="left" w:pos="720"/>
          <w:tab w:val="left" w:pos="1134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Висота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>:</w:t>
      </w:r>
    </w:p>
    <w:p w:rsidR="00CC5EA0" w:rsidRPr="00CC5EA0" w:rsidRDefault="00CC5EA0" w:rsidP="00CC5EA0">
      <w:pPr>
        <w:tabs>
          <w:tab w:val="left" w:pos="1134"/>
        </w:tabs>
        <w:overflowPunct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CC5EA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поверхів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- до </w:t>
      </w:r>
      <w:r w:rsidR="00BC69F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C5EA0">
        <w:rPr>
          <w:rFonts w:ascii="Times New Roman" w:hAnsi="Times New Roman" w:cs="Times New Roman"/>
          <w:sz w:val="24"/>
          <w:szCs w:val="24"/>
        </w:rPr>
        <w:t xml:space="preserve">-х з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можливим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використанням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додатково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) мансардного поверху.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Висота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поверхні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грунту: не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9,6м до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пл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5EA0">
        <w:rPr>
          <w:rFonts w:ascii="Times New Roman" w:hAnsi="Times New Roman" w:cs="Times New Roman"/>
          <w:sz w:val="24"/>
          <w:szCs w:val="24"/>
        </w:rPr>
        <w:t>даху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CC5EA0">
        <w:rPr>
          <w:rFonts w:ascii="Times New Roman" w:hAnsi="Times New Roman" w:cs="Times New Roman"/>
          <w:sz w:val="24"/>
          <w:szCs w:val="24"/>
        </w:rPr>
        <w:t xml:space="preserve">та не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13,6 м до гребня  у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коли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дах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схили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>.</w:t>
      </w:r>
    </w:p>
    <w:p w:rsidR="00CC5EA0" w:rsidRPr="00CC5EA0" w:rsidRDefault="00CC5EA0" w:rsidP="00CC5EA0">
      <w:pPr>
        <w:tabs>
          <w:tab w:val="left" w:pos="1134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CC5EA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допоміжних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висота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поверхні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грунту не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4,0 м;  та не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білше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7,0м до гребня у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коли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дах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схили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>.</w:t>
      </w:r>
    </w:p>
    <w:p w:rsidR="00CC5EA0" w:rsidRPr="00CC5EA0" w:rsidRDefault="00CC5EA0" w:rsidP="00CC5EA0">
      <w:pPr>
        <w:tabs>
          <w:tab w:val="left" w:pos="1134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Забороняється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розміщувати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допоміжні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з боку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>.</w:t>
      </w:r>
    </w:p>
    <w:p w:rsidR="00CC5EA0" w:rsidRPr="00CC5EA0" w:rsidRDefault="00CC5EA0" w:rsidP="00CC5EA0">
      <w:pPr>
        <w:tabs>
          <w:tab w:val="left" w:pos="720"/>
          <w:tab w:val="left" w:pos="1134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огорожі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>:</w:t>
      </w:r>
    </w:p>
    <w:p w:rsidR="00CC5EA0" w:rsidRPr="00CC5EA0" w:rsidRDefault="00CC5EA0" w:rsidP="00CC5EA0">
      <w:pPr>
        <w:tabs>
          <w:tab w:val="left" w:pos="720"/>
          <w:tab w:val="left" w:pos="1134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CC5EA0">
        <w:rPr>
          <w:rFonts w:ascii="Times New Roman" w:hAnsi="Times New Roman" w:cs="Times New Roman"/>
          <w:sz w:val="24"/>
          <w:szCs w:val="24"/>
        </w:rPr>
        <w:t>висота (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CC5EA0">
        <w:rPr>
          <w:rFonts w:ascii="Times New Roman" w:hAnsi="Times New Roman" w:cs="Times New Roman"/>
          <w:sz w:val="24"/>
          <w:szCs w:val="24"/>
        </w:rPr>
        <w:t>1,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CC5EA0">
        <w:rPr>
          <w:rFonts w:ascii="Times New Roman" w:hAnsi="Times New Roman" w:cs="Times New Roman"/>
          <w:sz w:val="24"/>
          <w:szCs w:val="24"/>
        </w:rPr>
        <w:t xml:space="preserve"> м)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однаковою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щонайменше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в одному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кварталі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обох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боків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5EA0" w:rsidRPr="00CC5EA0" w:rsidRDefault="00CC5EA0" w:rsidP="00CC5EA0">
      <w:pPr>
        <w:tabs>
          <w:tab w:val="left" w:pos="1134"/>
        </w:tabs>
        <w:overflowPunct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CC5EA0">
        <w:rPr>
          <w:rFonts w:ascii="Times New Roman" w:hAnsi="Times New Roman" w:cs="Times New Roman"/>
          <w:bCs/>
          <w:sz w:val="24"/>
          <w:szCs w:val="24"/>
        </w:rPr>
        <w:t xml:space="preserve">огорожа </w:t>
      </w:r>
      <w:proofErr w:type="spellStart"/>
      <w:r w:rsidRPr="00CC5EA0">
        <w:rPr>
          <w:rFonts w:ascii="Times New Roman" w:hAnsi="Times New Roman" w:cs="Times New Roman"/>
          <w:bCs/>
          <w:sz w:val="24"/>
          <w:szCs w:val="24"/>
        </w:rPr>
        <w:t>між</w:t>
      </w:r>
      <w:proofErr w:type="spellEnd"/>
      <w:r w:rsidRPr="00CC5EA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bCs/>
          <w:sz w:val="24"/>
          <w:szCs w:val="24"/>
        </w:rPr>
        <w:t>суміжними</w:t>
      </w:r>
      <w:proofErr w:type="spellEnd"/>
      <w:r w:rsidRPr="00CC5EA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bCs/>
          <w:sz w:val="24"/>
          <w:szCs w:val="24"/>
        </w:rPr>
        <w:t>ділянками</w:t>
      </w:r>
      <w:proofErr w:type="spellEnd"/>
      <w:r w:rsidRPr="00CC5EA0">
        <w:rPr>
          <w:rFonts w:ascii="Times New Roman" w:hAnsi="Times New Roman" w:cs="Times New Roman"/>
          <w:bCs/>
          <w:sz w:val="24"/>
          <w:szCs w:val="24"/>
        </w:rPr>
        <w:t xml:space="preserve"> повинна </w:t>
      </w:r>
      <w:proofErr w:type="spellStart"/>
      <w:r w:rsidRPr="00CC5EA0">
        <w:rPr>
          <w:rFonts w:ascii="Times New Roman" w:hAnsi="Times New Roman" w:cs="Times New Roman"/>
          <w:bCs/>
          <w:sz w:val="24"/>
          <w:szCs w:val="24"/>
        </w:rPr>
        <w:t>забезпечувати</w:t>
      </w:r>
      <w:proofErr w:type="spellEnd"/>
      <w:r w:rsidRPr="00CC5EA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bCs/>
          <w:sz w:val="24"/>
          <w:szCs w:val="24"/>
        </w:rPr>
        <w:t>провітрювання</w:t>
      </w:r>
      <w:proofErr w:type="spellEnd"/>
      <w:r w:rsidRPr="00CC5EA0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CC5EA0">
        <w:rPr>
          <w:rFonts w:ascii="Times New Roman" w:hAnsi="Times New Roman" w:cs="Times New Roman"/>
          <w:bCs/>
          <w:sz w:val="24"/>
          <w:szCs w:val="24"/>
        </w:rPr>
        <w:t>інсоляцію</w:t>
      </w:r>
      <w:proofErr w:type="spellEnd"/>
      <w:r w:rsidRPr="00CC5EA0">
        <w:rPr>
          <w:rFonts w:ascii="Times New Roman" w:hAnsi="Times New Roman" w:cs="Times New Roman"/>
          <w:bCs/>
          <w:sz w:val="24"/>
          <w:szCs w:val="24"/>
        </w:rPr>
        <w:t>.</w:t>
      </w:r>
    </w:p>
    <w:p w:rsidR="00DB19E8" w:rsidRPr="00CC5EA0" w:rsidRDefault="00CC5EA0" w:rsidP="000141DC">
      <w:pPr>
        <w:tabs>
          <w:tab w:val="left" w:pos="1134"/>
        </w:tabs>
        <w:overflowPunct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C5EA0">
        <w:rPr>
          <w:rFonts w:ascii="Times New Roman" w:hAnsi="Times New Roman" w:cs="Times New Roman"/>
          <w:bCs/>
          <w:sz w:val="24"/>
          <w:szCs w:val="24"/>
          <w:lang w:val="uk-UA"/>
        </w:rPr>
        <w:t>- о</w:t>
      </w:r>
      <w:proofErr w:type="spellStart"/>
      <w:r w:rsidR="00DB19E8" w:rsidRPr="00CC5EA0">
        <w:rPr>
          <w:rFonts w:ascii="Times New Roman" w:hAnsi="Times New Roman" w:cs="Times New Roman"/>
          <w:sz w:val="24"/>
          <w:szCs w:val="24"/>
        </w:rPr>
        <w:t>горожа</w:t>
      </w:r>
      <w:proofErr w:type="spellEnd"/>
      <w:r w:rsidR="00DB19E8"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19E8" w:rsidRPr="00CC5EA0"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 w:rsidR="00DB19E8" w:rsidRPr="00CC5EA0">
        <w:rPr>
          <w:rFonts w:ascii="Times New Roman" w:hAnsi="Times New Roman" w:cs="Times New Roman"/>
          <w:sz w:val="24"/>
          <w:szCs w:val="24"/>
        </w:rPr>
        <w:t xml:space="preserve"> не повинна </w:t>
      </w:r>
      <w:proofErr w:type="spellStart"/>
      <w:r w:rsidR="00DB19E8" w:rsidRPr="00CC5EA0">
        <w:rPr>
          <w:rFonts w:ascii="Times New Roman" w:hAnsi="Times New Roman" w:cs="Times New Roman"/>
          <w:sz w:val="24"/>
          <w:szCs w:val="24"/>
        </w:rPr>
        <w:t>виступати</w:t>
      </w:r>
      <w:proofErr w:type="spellEnd"/>
      <w:r w:rsidR="00DB19E8" w:rsidRPr="00CC5EA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DB19E8" w:rsidRPr="00CC5EA0">
        <w:rPr>
          <w:rFonts w:ascii="Times New Roman" w:hAnsi="Times New Roman" w:cs="Times New Roman"/>
          <w:sz w:val="24"/>
          <w:szCs w:val="24"/>
        </w:rPr>
        <w:t>червону</w:t>
      </w:r>
      <w:proofErr w:type="spellEnd"/>
      <w:r w:rsidR="00DB19E8"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19E8" w:rsidRPr="00CC5EA0">
        <w:rPr>
          <w:rFonts w:ascii="Times New Roman" w:hAnsi="Times New Roman" w:cs="Times New Roman"/>
          <w:sz w:val="24"/>
          <w:szCs w:val="24"/>
        </w:rPr>
        <w:t>лінію</w:t>
      </w:r>
      <w:proofErr w:type="spellEnd"/>
      <w:r w:rsidR="00DB19E8"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19E8" w:rsidRPr="00CC5EA0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="00DB19E8" w:rsidRPr="00CC5E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04BF" w:rsidRDefault="00C904BF" w:rsidP="00D2305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1422A" w:rsidRPr="00CC5EA0" w:rsidRDefault="0021422A" w:rsidP="00D2305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7F48" w:rsidRPr="00CC5EA0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Пропозиції щодо встановлення режиму забудови територій, передбачених для перспективної містобудівної діяльності, в т.ч. для розміщення об’єктів соціальної та інженерно-транспортної інфраструктури, охорони та збереження культурної спадщини.</w:t>
      </w:r>
    </w:p>
    <w:p w:rsidR="00DB19E8" w:rsidRPr="00CC5EA0" w:rsidRDefault="00271F1D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територіях, що відповідно до містобудівної документації змінюють свою функцію, знаходяться в межах зони реконструкції, або нового будівництва, режим використання та забудови, основні параметри забудови визначаються </w:t>
      </w:r>
      <w:r w:rsidR="00B81B61">
        <w:rPr>
          <w:rFonts w:ascii="Times New Roman" w:hAnsi="Times New Roman" w:cs="Times New Roman"/>
          <w:bCs/>
          <w:sz w:val="24"/>
          <w:szCs w:val="24"/>
          <w:lang w:val="uk-UA"/>
        </w:rPr>
        <w:t>відділом</w:t>
      </w:r>
      <w:r w:rsidRPr="00CC5EA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містобудування та архітектури</w:t>
      </w:r>
      <w:r w:rsidRPr="00CC5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на основі діючих законодавчих та нормативних актів, будівельних норм та правил.</w:t>
      </w:r>
    </w:p>
    <w:p w:rsidR="00BC69FE" w:rsidRPr="00CC5EA0" w:rsidRDefault="00BC69FE" w:rsidP="00B81B61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7F48" w:rsidRPr="00CC5EA0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Переважні, супутні і допустимі види використання території, </w:t>
      </w:r>
      <w:r w:rsidR="000E6C85">
        <w:rPr>
          <w:rFonts w:ascii="Times New Roman" w:hAnsi="Times New Roman" w:cs="Times New Roman"/>
          <w:b/>
          <w:sz w:val="24"/>
          <w:szCs w:val="24"/>
          <w:lang w:val="uk-UA"/>
        </w:rPr>
        <w:t>містобудівні умови та обмеження.</w:t>
      </w:r>
    </w:p>
    <w:p w:rsidR="00EF0055" w:rsidRPr="00CC5EA0" w:rsidRDefault="00EF0055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Територія </w:t>
      </w:r>
      <w:r w:rsidR="0021422A">
        <w:rPr>
          <w:rFonts w:ascii="Times New Roman" w:hAnsi="Times New Roman" w:cs="Times New Roman"/>
          <w:sz w:val="24"/>
          <w:szCs w:val="24"/>
          <w:lang w:val="uk-UA"/>
        </w:rPr>
        <w:t xml:space="preserve">житлової 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забудови призначена для </w:t>
      </w:r>
      <w:r w:rsidR="0021422A">
        <w:rPr>
          <w:rFonts w:ascii="Times New Roman" w:hAnsi="Times New Roman" w:cs="Times New Roman"/>
          <w:sz w:val="24"/>
          <w:szCs w:val="24"/>
          <w:lang w:val="uk-UA"/>
        </w:rPr>
        <w:t>проживання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людей </w:t>
      </w:r>
      <w:r w:rsidRPr="00CC5EA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69FE">
        <w:rPr>
          <w:rFonts w:ascii="Times New Roman" w:hAnsi="Times New Roman" w:cs="Times New Roman"/>
          <w:sz w:val="24"/>
          <w:szCs w:val="24"/>
          <w:lang w:val="uk-UA"/>
        </w:rPr>
        <w:t>сад</w:t>
      </w:r>
      <w:r w:rsidR="00B81B61">
        <w:rPr>
          <w:rFonts w:ascii="Times New Roman" w:hAnsi="Times New Roman" w:cs="Times New Roman"/>
          <w:sz w:val="24"/>
          <w:szCs w:val="24"/>
          <w:lang w:val="uk-UA"/>
        </w:rPr>
        <w:t>ибн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их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будинках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розміщенням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кожного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будин</w:t>
      </w:r>
      <w:r w:rsidR="00BC69FE">
        <w:rPr>
          <w:rFonts w:ascii="Times New Roman" w:hAnsi="Times New Roman" w:cs="Times New Roman"/>
          <w:sz w:val="24"/>
          <w:szCs w:val="24"/>
          <w:lang w:val="uk-UA"/>
        </w:rPr>
        <w:t>оч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ку на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окремій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земельній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ділянці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блокованих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спарених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) </w:t>
      </w:r>
      <w:r w:rsidR="00BC69FE">
        <w:rPr>
          <w:rFonts w:ascii="Times New Roman" w:hAnsi="Times New Roman" w:cs="Times New Roman"/>
          <w:sz w:val="24"/>
          <w:szCs w:val="24"/>
          <w:lang w:val="uk-UA"/>
        </w:rPr>
        <w:t>сад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будинках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>.</w:t>
      </w:r>
      <w:r w:rsidRPr="00CC5EA0">
        <w:rPr>
          <w:rFonts w:ascii="Times New Roman" w:hAnsi="Times New Roman" w:cs="Times New Roman"/>
          <w:sz w:val="24"/>
          <w:szCs w:val="24"/>
        </w:rPr>
        <w:tab/>
      </w:r>
    </w:p>
    <w:p w:rsidR="00EF0055" w:rsidRPr="00CC5EA0" w:rsidRDefault="00EF0055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5E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C5EA0">
        <w:rPr>
          <w:rFonts w:ascii="Times New Roman" w:hAnsi="Times New Roman" w:cs="Times New Roman"/>
          <w:i/>
          <w:sz w:val="24"/>
          <w:szCs w:val="24"/>
        </w:rPr>
        <w:t>Переважні</w:t>
      </w:r>
      <w:proofErr w:type="spellEnd"/>
      <w:r w:rsidRPr="00CC5EA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i/>
          <w:sz w:val="24"/>
          <w:szCs w:val="24"/>
        </w:rPr>
        <w:t>види</w:t>
      </w:r>
      <w:proofErr w:type="spellEnd"/>
      <w:r w:rsidRPr="00CC5EA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i/>
          <w:sz w:val="24"/>
          <w:szCs w:val="24"/>
        </w:rPr>
        <w:t>використання</w:t>
      </w:r>
      <w:proofErr w:type="spellEnd"/>
      <w:r w:rsidRPr="00CC5EA0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EF0055" w:rsidRPr="00CC5EA0" w:rsidRDefault="00EF0055" w:rsidP="00CC5EA0">
      <w:pPr>
        <w:pStyle w:val="a7"/>
        <w:numPr>
          <w:ilvl w:val="0"/>
          <w:numId w:val="3"/>
        </w:numPr>
        <w:tabs>
          <w:tab w:val="left" w:pos="1134"/>
        </w:tabs>
        <w:overflowPunct w:val="0"/>
        <w:spacing w:after="0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окремі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69FE">
        <w:rPr>
          <w:rFonts w:ascii="Times New Roman" w:hAnsi="Times New Roman" w:cs="Times New Roman"/>
          <w:sz w:val="24"/>
          <w:szCs w:val="24"/>
          <w:lang w:val="uk-UA"/>
        </w:rPr>
        <w:t>сад</w:t>
      </w:r>
      <w:r w:rsidR="00B81B61">
        <w:rPr>
          <w:rFonts w:ascii="Times New Roman" w:hAnsi="Times New Roman" w:cs="Times New Roman"/>
          <w:sz w:val="24"/>
          <w:szCs w:val="24"/>
          <w:lang w:val="uk-UA"/>
        </w:rPr>
        <w:t>ибн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будинки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, з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підключенням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r w:rsidR="000E6C85">
        <w:rPr>
          <w:rFonts w:ascii="Times New Roman" w:hAnsi="Times New Roman" w:cs="Times New Roman"/>
          <w:sz w:val="24"/>
          <w:szCs w:val="24"/>
          <w:lang w:val="uk-UA"/>
        </w:rPr>
        <w:t>до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локальних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очисних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>,</w:t>
      </w:r>
    </w:p>
    <w:p w:rsidR="00EF0055" w:rsidRPr="00CC5EA0" w:rsidRDefault="00EF0055" w:rsidP="00CC5EA0">
      <w:pPr>
        <w:pStyle w:val="a7"/>
        <w:numPr>
          <w:ilvl w:val="0"/>
          <w:numId w:val="3"/>
        </w:numPr>
        <w:tabs>
          <w:tab w:val="left" w:pos="1134"/>
        </w:tabs>
        <w:overflowPunct w:val="0"/>
        <w:spacing w:after="0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блоковані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69FE">
        <w:rPr>
          <w:rFonts w:ascii="Times New Roman" w:hAnsi="Times New Roman" w:cs="Times New Roman"/>
          <w:sz w:val="24"/>
          <w:szCs w:val="24"/>
        </w:rPr>
        <w:t>сад</w:t>
      </w:r>
      <w:r w:rsidR="00B81B61">
        <w:rPr>
          <w:rFonts w:ascii="Times New Roman" w:hAnsi="Times New Roman" w:cs="Times New Roman"/>
          <w:sz w:val="24"/>
          <w:szCs w:val="24"/>
        </w:rPr>
        <w:t>ибн</w:t>
      </w:r>
      <w:r w:rsidRPr="00CC5EA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будинки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, з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підключенням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r w:rsidR="000E6C85">
        <w:rPr>
          <w:rFonts w:ascii="Times New Roman" w:hAnsi="Times New Roman" w:cs="Times New Roman"/>
          <w:sz w:val="24"/>
          <w:szCs w:val="24"/>
          <w:lang w:val="uk-UA"/>
        </w:rPr>
        <w:t>до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локальних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очисних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>,</w:t>
      </w:r>
    </w:p>
    <w:p w:rsidR="00EF0055" w:rsidRPr="00CC5EA0" w:rsidRDefault="00EF0055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5EA0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CC5EA0">
        <w:rPr>
          <w:rFonts w:ascii="Times New Roman" w:hAnsi="Times New Roman" w:cs="Times New Roman"/>
          <w:i/>
          <w:sz w:val="24"/>
          <w:szCs w:val="24"/>
        </w:rPr>
        <w:t>Допустимі</w:t>
      </w:r>
      <w:proofErr w:type="spellEnd"/>
      <w:r w:rsidRPr="00CC5EA0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CC5EA0">
        <w:rPr>
          <w:rFonts w:ascii="Times New Roman" w:hAnsi="Times New Roman" w:cs="Times New Roman"/>
          <w:i/>
          <w:sz w:val="24"/>
          <w:szCs w:val="24"/>
        </w:rPr>
        <w:t>неосновні</w:t>
      </w:r>
      <w:proofErr w:type="spellEnd"/>
      <w:r w:rsidRPr="00CC5EA0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CC5EA0">
        <w:rPr>
          <w:rFonts w:ascii="Times New Roman" w:hAnsi="Times New Roman" w:cs="Times New Roman"/>
          <w:i/>
          <w:sz w:val="24"/>
          <w:szCs w:val="24"/>
        </w:rPr>
        <w:t>супутні</w:t>
      </w:r>
      <w:proofErr w:type="spellEnd"/>
      <w:r w:rsidRPr="00CC5EA0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CC5EA0">
        <w:rPr>
          <w:rFonts w:ascii="Times New Roman" w:hAnsi="Times New Roman" w:cs="Times New Roman"/>
          <w:i/>
          <w:sz w:val="24"/>
          <w:szCs w:val="24"/>
        </w:rPr>
        <w:t>види</w:t>
      </w:r>
      <w:proofErr w:type="spellEnd"/>
      <w:r w:rsidRPr="00CC5EA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i/>
          <w:sz w:val="24"/>
          <w:szCs w:val="24"/>
        </w:rPr>
        <w:t>використання</w:t>
      </w:r>
      <w:proofErr w:type="spellEnd"/>
      <w:r w:rsidRPr="00CC5EA0">
        <w:rPr>
          <w:rFonts w:ascii="Times New Roman" w:hAnsi="Times New Roman" w:cs="Times New Roman"/>
          <w:i/>
          <w:sz w:val="24"/>
          <w:szCs w:val="24"/>
        </w:rPr>
        <w:t>:</w:t>
      </w:r>
    </w:p>
    <w:p w:rsidR="00EF0055" w:rsidRPr="00CC5EA0" w:rsidRDefault="00EF0055" w:rsidP="00CC5EA0">
      <w:pPr>
        <w:pStyle w:val="a7"/>
        <w:numPr>
          <w:ilvl w:val="0"/>
          <w:numId w:val="3"/>
        </w:numPr>
        <w:tabs>
          <w:tab w:val="left" w:pos="720"/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санітарних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протипожежних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норм,</w:t>
      </w:r>
    </w:p>
    <w:p w:rsidR="00EF0055" w:rsidRPr="00CC5EA0" w:rsidRDefault="00EF0055" w:rsidP="00CC5EA0">
      <w:pPr>
        <w:pStyle w:val="a7"/>
        <w:numPr>
          <w:ilvl w:val="0"/>
          <w:numId w:val="3"/>
        </w:numPr>
        <w:tabs>
          <w:tab w:val="left" w:pos="720"/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5EA0">
        <w:rPr>
          <w:rFonts w:ascii="Times New Roman" w:hAnsi="Times New Roman" w:cs="Times New Roman"/>
          <w:sz w:val="24"/>
          <w:szCs w:val="24"/>
        </w:rPr>
        <w:t>сади, городи,</w:t>
      </w:r>
    </w:p>
    <w:p w:rsidR="00EF0055" w:rsidRPr="00CC5EA0" w:rsidRDefault="00EF0055" w:rsidP="00CC5EA0">
      <w:pPr>
        <w:pStyle w:val="a7"/>
        <w:numPr>
          <w:ilvl w:val="0"/>
          <w:numId w:val="3"/>
        </w:numPr>
        <w:tabs>
          <w:tab w:val="left" w:pos="720"/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бані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сауни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EA0">
        <w:rPr>
          <w:rFonts w:ascii="Times New Roman" w:hAnsi="Times New Roman" w:cs="Times New Roman"/>
          <w:sz w:val="24"/>
          <w:szCs w:val="24"/>
        </w:rPr>
        <w:t>за умов</w:t>
      </w:r>
      <w:proofErr w:type="gram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каналізування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EA0">
        <w:rPr>
          <w:rFonts w:ascii="Times New Roman" w:hAnsi="Times New Roman" w:cs="Times New Roman"/>
          <w:sz w:val="24"/>
          <w:szCs w:val="24"/>
        </w:rPr>
        <w:t>стоків</w:t>
      </w:r>
      <w:proofErr w:type="spellEnd"/>
      <w:r w:rsidRPr="00CC5EA0">
        <w:rPr>
          <w:rFonts w:ascii="Times New Roman" w:hAnsi="Times New Roman" w:cs="Times New Roman"/>
          <w:sz w:val="24"/>
          <w:szCs w:val="24"/>
        </w:rPr>
        <w:t>,</w:t>
      </w:r>
    </w:p>
    <w:p w:rsidR="00EF0055" w:rsidRPr="00CC5EA0" w:rsidRDefault="00EF0055" w:rsidP="00CC5EA0">
      <w:pPr>
        <w:pStyle w:val="a7"/>
        <w:numPr>
          <w:ilvl w:val="0"/>
          <w:numId w:val="3"/>
        </w:numPr>
        <w:tabs>
          <w:tab w:val="left" w:pos="720"/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теплиці, оранжереї, парники та інші споруди, що пов'язані з вирощуванням квітів, фруктів та овочів,</w:t>
      </w:r>
    </w:p>
    <w:p w:rsidR="00EF0055" w:rsidRPr="00CC5EA0" w:rsidRDefault="00EF0055" w:rsidP="00CC5EA0">
      <w:pPr>
        <w:pStyle w:val="a7"/>
        <w:numPr>
          <w:ilvl w:val="0"/>
          <w:numId w:val="3"/>
        </w:numPr>
        <w:tabs>
          <w:tab w:val="left" w:pos="720"/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вбудовані або окремо розміщені гаражі та відкриті стоянки, але не більш ніж 2 транспортні одиниці на одну земельну ділянку.</w:t>
      </w:r>
    </w:p>
    <w:p w:rsidR="00EF0055" w:rsidRPr="00CC5EA0" w:rsidRDefault="00EF0055" w:rsidP="000141DC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31B3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87251" w:rsidRPr="00B67976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Основні </w:t>
      </w:r>
      <w:bookmarkStart w:id="0" w:name="__DdeLink__396_143851440"/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t>принципи планувально-просторової</w:t>
      </w:r>
      <w:bookmarkEnd w:id="0"/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організації території.</w:t>
      </w:r>
    </w:p>
    <w:p w:rsidR="00187251" w:rsidRDefault="00187251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87251">
        <w:rPr>
          <w:rFonts w:ascii="Times New Roman" w:hAnsi="Times New Roman"/>
          <w:sz w:val="24"/>
          <w:szCs w:val="24"/>
          <w:lang w:val="uk-UA"/>
        </w:rPr>
        <w:t xml:space="preserve">Територія опрацювання - це </w:t>
      </w:r>
      <w:r w:rsidR="00A1292A">
        <w:rPr>
          <w:rFonts w:ascii="Times New Roman" w:hAnsi="Times New Roman"/>
          <w:sz w:val="24"/>
          <w:szCs w:val="24"/>
          <w:lang w:val="uk-UA"/>
        </w:rPr>
        <w:t xml:space="preserve">земельна ділянка в користуванні </w:t>
      </w:r>
      <w:r w:rsidR="0021422A">
        <w:rPr>
          <w:rFonts w:ascii="Times New Roman" w:hAnsi="Times New Roman"/>
          <w:sz w:val="24"/>
          <w:szCs w:val="24"/>
          <w:lang w:val="uk-UA"/>
        </w:rPr>
        <w:t>Вишенько М.О.</w:t>
      </w:r>
      <w:r w:rsidRPr="00187251">
        <w:rPr>
          <w:rFonts w:ascii="Times New Roman" w:hAnsi="Times New Roman"/>
          <w:sz w:val="24"/>
          <w:szCs w:val="24"/>
          <w:lang w:val="uk-UA"/>
        </w:rPr>
        <w:t xml:space="preserve"> Основні принципи </w:t>
      </w:r>
      <w:proofErr w:type="spellStart"/>
      <w:r w:rsidRPr="00187251">
        <w:rPr>
          <w:rFonts w:ascii="Times New Roman" w:hAnsi="Times New Roman"/>
          <w:sz w:val="24"/>
          <w:szCs w:val="24"/>
          <w:lang w:val="uk-UA"/>
        </w:rPr>
        <w:t>планувально</w:t>
      </w:r>
      <w:proofErr w:type="spellEnd"/>
      <w:r w:rsidRPr="00187251">
        <w:rPr>
          <w:rFonts w:ascii="Times New Roman" w:hAnsi="Times New Roman"/>
          <w:sz w:val="24"/>
          <w:szCs w:val="24"/>
          <w:lang w:val="uk-UA"/>
        </w:rPr>
        <w:t>-просторової організації на території опрацювання це впорядкування та благоустрій території за рахунок формування простору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187251" w:rsidRPr="00187251" w:rsidRDefault="00187251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7251">
        <w:rPr>
          <w:rFonts w:ascii="Times New Roman" w:hAnsi="Times New Roman"/>
          <w:sz w:val="24"/>
          <w:szCs w:val="24"/>
          <w:lang w:val="uk-UA"/>
        </w:rPr>
        <w:t>Основні принципи планувально-просторової організації на тери</w:t>
      </w:r>
      <w:r w:rsidR="00EC7A08">
        <w:rPr>
          <w:rFonts w:ascii="Times New Roman" w:hAnsi="Times New Roman"/>
          <w:sz w:val="24"/>
          <w:szCs w:val="24"/>
          <w:lang w:val="uk-UA"/>
        </w:rPr>
        <w:t>торії проектування це упорядження території</w:t>
      </w:r>
      <w:r w:rsidRPr="0018725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C7A08">
        <w:rPr>
          <w:rFonts w:ascii="Times New Roman" w:hAnsi="Times New Roman"/>
          <w:sz w:val="24"/>
          <w:szCs w:val="24"/>
          <w:lang w:val="uk-UA"/>
        </w:rPr>
        <w:t>Т</w:t>
      </w:r>
      <w:r w:rsidRPr="00187251">
        <w:rPr>
          <w:rFonts w:ascii="Times New Roman" w:hAnsi="Times New Roman"/>
          <w:sz w:val="24"/>
          <w:szCs w:val="24"/>
          <w:lang w:val="uk-UA"/>
        </w:rPr>
        <w:t>ериторії формуються за принципом розмежування простору.</w:t>
      </w:r>
    </w:p>
    <w:p w:rsidR="00C904BF" w:rsidRPr="00CC5EA0" w:rsidRDefault="00C904BF" w:rsidP="000141DC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4F87" w:rsidRPr="00894F87" w:rsidRDefault="00EE1F23" w:rsidP="00894F87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t>Система обслуговування населення, розміщення основних об’єктів обслуговування</w:t>
      </w:r>
    </w:p>
    <w:p w:rsidR="00EB06A1" w:rsidRDefault="00EE1F23" w:rsidP="000141DC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Згідно ДБН </w:t>
      </w:r>
      <w:r w:rsidR="00EB06A1">
        <w:rPr>
          <w:rFonts w:ascii="Times New Roman" w:hAnsi="Times New Roman" w:cs="Times New Roman"/>
          <w:sz w:val="24"/>
          <w:szCs w:val="24"/>
          <w:lang w:val="uk-UA"/>
        </w:rPr>
        <w:t>Б.2.2-12:201</w:t>
      </w:r>
      <w:r w:rsidR="00B81B6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="00EB06A1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ланування і забудова </w:t>
      </w:r>
      <w:r w:rsidR="00EB06A1">
        <w:rPr>
          <w:rFonts w:ascii="Times New Roman" w:hAnsi="Times New Roman" w:cs="Times New Roman"/>
          <w:sz w:val="24"/>
          <w:szCs w:val="24"/>
          <w:lang w:val="uk-UA"/>
        </w:rPr>
        <w:t>територій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>” установи й підприємства обслуговування у сільських поселеннях розміщуються з розрахунку забезпечення жителів кожного поселення послугами першої необхідності у межах пішохідної доступності не більше 30 хв. Забезпечення об'єктами більш високого рівня обслуговування передбачаються на групу сільських поселень. Для організації обслуговування передбачаються, крім стаціонарних будинків, пересувні засоби і споруди сезонного використання, виділяючи для всіх відповідні майданчики.</w:t>
      </w:r>
    </w:p>
    <w:p w:rsidR="00C17F48" w:rsidRPr="00CC5EA0" w:rsidRDefault="00EB06A1" w:rsidP="000141DC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Детальний план території розробляється на території вже сформованого кварталу, таким чином відстані доступності до закладів обслуговування населення не досліджувалися.</w:t>
      </w:r>
      <w:r w:rsidR="00EE1F23"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17F48" w:rsidRPr="00CC5EA0" w:rsidRDefault="00C17F48" w:rsidP="000141DC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7F48" w:rsidRPr="00CC5EA0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t>Вулично-дорожня мережа, транспортне обслуговування, організація руху транспорту і</w:t>
      </w:r>
      <w:r w:rsidR="000E6C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t>пішоходів та велосипедних доріжок, розміщення гаражів і автостоянок</w:t>
      </w:r>
      <w:r w:rsidR="000E6C8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C17F48" w:rsidRPr="00CC5EA0" w:rsidRDefault="00EE1F23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Зовнішні транспортні зв’язки забезпечуються автомобільним транспортом. Пасажирські перевезення здійснюються автобусами і мікроавтобусами. 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В залежності від функціонального призначення та планувальних міркувань генеральним планом передбачено, а детальним планом уточнюються закладені параметри передбачених до реконструкції житлових вулиць:</w:t>
      </w:r>
    </w:p>
    <w:p w:rsidR="00C17F48" w:rsidRPr="00D23052" w:rsidRDefault="00EE1F23" w:rsidP="00D2305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Червоні лінії:</w:t>
      </w:r>
    </w:p>
    <w:p w:rsidR="00EC7A08" w:rsidRDefault="00D23052" w:rsidP="0023572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305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A1292A">
        <w:rPr>
          <w:rFonts w:ascii="Times New Roman" w:hAnsi="Times New Roman" w:cs="Times New Roman"/>
          <w:sz w:val="24"/>
          <w:szCs w:val="24"/>
          <w:lang w:val="uk-UA"/>
        </w:rPr>
        <w:t>житлові</w:t>
      </w:r>
      <w:r w:rsidR="00B81B61">
        <w:rPr>
          <w:rFonts w:ascii="Times New Roman" w:hAnsi="Times New Roman" w:cs="Times New Roman"/>
          <w:sz w:val="24"/>
          <w:szCs w:val="24"/>
          <w:lang w:val="uk-UA"/>
        </w:rPr>
        <w:t xml:space="preserve"> вулиці</w:t>
      </w:r>
      <w:r w:rsidRPr="00D23052">
        <w:rPr>
          <w:rFonts w:ascii="Times New Roman" w:hAnsi="Times New Roman" w:cs="Times New Roman"/>
          <w:sz w:val="24"/>
          <w:szCs w:val="24"/>
          <w:lang w:val="uk-UA"/>
        </w:rPr>
        <w:t xml:space="preserve"> — </w:t>
      </w:r>
      <w:r w:rsidR="0021422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EC7A08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r w:rsidRPr="00D2305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EE1F23" w:rsidRPr="00D2305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17F48" w:rsidRPr="00D23052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3052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Ширина </w:t>
      </w:r>
      <w:proofErr w:type="spellStart"/>
      <w:r w:rsidRPr="00D23052">
        <w:rPr>
          <w:rFonts w:ascii="Times New Roman" w:hAnsi="Times New Roman" w:cs="Times New Roman"/>
          <w:sz w:val="24"/>
          <w:szCs w:val="24"/>
          <w:lang w:val="uk-UA"/>
        </w:rPr>
        <w:t>проїзжих</w:t>
      </w:r>
      <w:proofErr w:type="spellEnd"/>
      <w:r w:rsidRPr="00D23052">
        <w:rPr>
          <w:rFonts w:ascii="Times New Roman" w:hAnsi="Times New Roman" w:cs="Times New Roman"/>
          <w:sz w:val="24"/>
          <w:szCs w:val="24"/>
          <w:lang w:val="uk-UA"/>
        </w:rPr>
        <w:t xml:space="preserve"> частин:</w:t>
      </w:r>
    </w:p>
    <w:p w:rsidR="00235728" w:rsidRDefault="00235728" w:rsidP="0023572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305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A1292A">
        <w:rPr>
          <w:rFonts w:ascii="Times New Roman" w:hAnsi="Times New Roman" w:cs="Times New Roman"/>
          <w:sz w:val="24"/>
          <w:szCs w:val="24"/>
          <w:lang w:val="uk-UA"/>
        </w:rPr>
        <w:t>житлових вулиць</w:t>
      </w:r>
      <w:r w:rsidRPr="00D23052">
        <w:rPr>
          <w:rFonts w:ascii="Times New Roman" w:hAnsi="Times New Roman" w:cs="Times New Roman"/>
          <w:sz w:val="24"/>
          <w:szCs w:val="24"/>
          <w:lang w:val="uk-UA"/>
        </w:rPr>
        <w:t xml:space="preserve"> — </w:t>
      </w:r>
      <w:r w:rsidR="0021422A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r w:rsidRPr="00D23052">
        <w:rPr>
          <w:rFonts w:ascii="Times New Roman" w:hAnsi="Times New Roman" w:cs="Times New Roman"/>
          <w:sz w:val="24"/>
          <w:szCs w:val="24"/>
          <w:lang w:val="uk-UA"/>
        </w:rPr>
        <w:t>м.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На розрахунковий період передбачається реконструкція всіх існуючих вулиць з влаштуванням нормативних габаритів елементів поперечного профілю.</w:t>
      </w:r>
    </w:p>
    <w:p w:rsidR="00C17F48" w:rsidRPr="00CC5EA0" w:rsidRDefault="00EE1F23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Пасажирські та вантажні перевезення здійснюють приватні автомашини. Легкові автомашини зберігаються в індивідуальному житловому секторі за місцем проживання. Автостоянки, кооперативні гаражі відсутні.</w:t>
      </w:r>
    </w:p>
    <w:p w:rsidR="00C17F48" w:rsidRPr="00CC5EA0" w:rsidRDefault="00C17F48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7F48" w:rsidRPr="00B67976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976">
        <w:rPr>
          <w:rFonts w:ascii="Times New Roman" w:hAnsi="Times New Roman" w:cs="Times New Roman"/>
          <w:b/>
          <w:sz w:val="24"/>
          <w:szCs w:val="24"/>
          <w:lang w:val="uk-UA"/>
        </w:rPr>
        <w:t>Інженерне забезпечення, розміщення інженерних мереж, споруд.</w:t>
      </w:r>
    </w:p>
    <w:p w:rsidR="00C17F48" w:rsidRDefault="00EE1F23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Інженерне обладнання включає споруди водопостачання, каналізації, санітарної очистки, тепло-, газо-, електропостачання, телефонізації, які забезпечують необхідні санітарно-гігієнічні умови для життя населення та охорону навколишнього середовища від забруднення.</w:t>
      </w:r>
    </w:p>
    <w:p w:rsidR="00235728" w:rsidRPr="00CC5EA0" w:rsidRDefault="00235728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Водопостачання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Централізоване водопостачання відсутнє. Населення користується водою з шахтних колодязів.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Потреба у воді визначається для витрат на господарсько-побутові потреби населення, полив зелених насаджень, та на потреби промисловості і пожежогасіння.</w:t>
      </w:r>
    </w:p>
    <w:p w:rsidR="00C17F48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Орієнтована витрата води для господарсько-питних і побутових потреб складає 250 л/добу</w:t>
      </w:r>
      <w:r w:rsidR="0023572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35728" w:rsidRPr="00CC5EA0" w:rsidRDefault="00235728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Дощова каналізація</w:t>
      </w:r>
    </w:p>
    <w:p w:rsidR="00235728" w:rsidRDefault="00EE1F23" w:rsidP="001C207F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На території  передбачено збирання дощових вод в пониженні місця рельєфу з подальшим їх видаленням по вуличній мережі (відкритих лотках, кюветах) на прилеглі території (яри, понижені місця) і канавами відводитися поза межі населеного пункту</w:t>
      </w:r>
      <w:r w:rsidR="0023572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67976" w:rsidRPr="001C207F" w:rsidRDefault="00EE1F23" w:rsidP="001C207F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Газопостачання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Населений пункт газифікований. Газопроводами середнього тиску газ по вуличній мережі подається до споживачів.</w:t>
      </w:r>
    </w:p>
    <w:p w:rsidR="00894F87" w:rsidRDefault="00A1292A" w:rsidP="00894F8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Детальним планом території не передбачається підключення до існуючої системи газопостачання</w:t>
      </w:r>
      <w:r w:rsidR="00EE1F23" w:rsidRPr="00CC5E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35728" w:rsidRPr="00894F87" w:rsidRDefault="00235728" w:rsidP="00894F8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Електропостачання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Електропостачання здійснюється ві</w:t>
      </w:r>
      <w:r w:rsidR="001C207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п/ст. 35/10 кВ. Розподіл проводиться через понижувальні підстанції від яких повітряними електролініями 0,4кВ струм подається до споживачів</w:t>
      </w:r>
    </w:p>
    <w:p w:rsidR="00C17F48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Розрахунок електроенергії для господарських і комунальних потреб  відповідно до питомих норм електропостачання – 1350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квт.год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>/рік на 1 особу.</w:t>
      </w:r>
    </w:p>
    <w:p w:rsidR="00235728" w:rsidRPr="00CC5EA0" w:rsidRDefault="00235728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Телефонний зв’язок</w:t>
      </w:r>
    </w:p>
    <w:p w:rsidR="00C17F48" w:rsidRDefault="00EE1F23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На час складання детального плану населений пункт телефонізований від АТС.</w:t>
      </w:r>
    </w:p>
    <w:p w:rsidR="00CC5EA0" w:rsidRPr="00CC5EA0" w:rsidRDefault="00CC5EA0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7F48" w:rsidRPr="00CC5EA0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t>Інженерна підготовка та інженерний захист території, використання підземного простору.</w:t>
      </w:r>
    </w:p>
    <w:p w:rsidR="00C17F48" w:rsidRPr="00CC5EA0" w:rsidRDefault="00EE1F23" w:rsidP="000141DC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Заходи з інженерної підготовки передбачають захист від несприятливих природних антропогенних явищ та прогноз зміни інженерно-геологічних умов при всіх видах використання.</w:t>
      </w:r>
    </w:p>
    <w:p w:rsidR="00C17F48" w:rsidRPr="00CC5EA0" w:rsidRDefault="00EE1F23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Захист від підтоплення території передбачає відведення дощових вод в пониженні місця рельєфу з подальшим їх видаленням по вуличній мережі на прилеглі території і канавами відводитися поза межі населеного пункту </w:t>
      </w:r>
    </w:p>
    <w:p w:rsidR="00235728" w:rsidRPr="00A1292A" w:rsidRDefault="00235728" w:rsidP="00A1292A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7F48" w:rsidRPr="00CC5EA0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EA0">
        <w:rPr>
          <w:rFonts w:ascii="Times New Roman" w:hAnsi="Times New Roman" w:cs="Times New Roman"/>
          <w:b/>
          <w:sz w:val="24"/>
          <w:szCs w:val="24"/>
          <w:lang w:val="uk-UA"/>
        </w:rPr>
        <w:t>Комплексний благоустрій та озеленення території</w:t>
      </w:r>
    </w:p>
    <w:p w:rsidR="00C17F48" w:rsidRPr="00CC5EA0" w:rsidRDefault="00EE1F23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Зелені насадження представлені приватними садами на присадибних ділянках. </w:t>
      </w:r>
    </w:p>
    <w:p w:rsidR="00C17F48" w:rsidRPr="00CC5EA0" w:rsidRDefault="00EE1F23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Детальним планом передбачено озеленити і благоустроїти територію. Крім того, пропонується організація зон відпочинку в </w:t>
      </w:r>
      <w:r w:rsidR="00EC7A08">
        <w:rPr>
          <w:rFonts w:ascii="Times New Roman" w:hAnsi="Times New Roman" w:cs="Times New Roman"/>
          <w:sz w:val="24"/>
          <w:szCs w:val="24"/>
          <w:lang w:val="uk-UA"/>
        </w:rPr>
        <w:t>садових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зонах та озеленення вулиць і доріг.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Вибір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асортимента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насаджень визначається природними умовами місцевості. Основна маса насаджень має складатися з місцевих, цінних, довговічних порід дерев та кущів у відповідності з умовами вирощування.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Екзоти та садові форми дерев і кущів необхідно застосовувати у невеликій кількості, при створенні галявин, долин, груп, у озелененні найбільш парадних місць.</w:t>
      </w:r>
    </w:p>
    <w:p w:rsidR="00C17F48" w:rsidRPr="00CC5EA0" w:rsidRDefault="00EE1F23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Для збереження декоративності зелених насаджень у зимовий період, у склад насаджень необхідно вводити хвойні та вічнозелені дерева та кущі, а також кущі з яскравим забарвленням стовбура та гілок.</w:t>
      </w:r>
    </w:p>
    <w:p w:rsidR="00C17F48" w:rsidRPr="00CC5EA0" w:rsidRDefault="00C17F48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F48" w:rsidRPr="00B67976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976">
        <w:rPr>
          <w:rFonts w:ascii="Times New Roman" w:hAnsi="Times New Roman" w:cs="Times New Roman"/>
          <w:b/>
          <w:sz w:val="24"/>
          <w:szCs w:val="24"/>
          <w:lang w:val="uk-UA"/>
        </w:rPr>
        <w:t>Містобудівні заходи щодо поліпшення стану навколишнього середовища.</w:t>
      </w:r>
    </w:p>
    <w:p w:rsidR="00235728" w:rsidRDefault="00235728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73A58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Закону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стратегічну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екологічну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вступив в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дію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з 12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жовтня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2018 року та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3A58">
        <w:rPr>
          <w:rFonts w:ascii="Times New Roman" w:hAnsi="Times New Roman" w:cs="Times New Roman"/>
          <w:sz w:val="24"/>
          <w:szCs w:val="24"/>
        </w:rPr>
        <w:t>до пункту</w:t>
      </w:r>
      <w:proofErr w:type="gramEnd"/>
      <w:r w:rsidRPr="00573A58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2 Закону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мі</w:t>
      </w:r>
      <w:r w:rsidR="0021422A">
        <w:rPr>
          <w:rFonts w:ascii="Times New Roman" w:hAnsi="Times New Roman" w:cs="Times New Roman"/>
          <w:sz w:val="24"/>
          <w:szCs w:val="24"/>
        </w:rPr>
        <w:t>стобудівної</w:t>
      </w:r>
      <w:proofErr w:type="spellEnd"/>
      <w:r w:rsidR="00214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422A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21422A">
        <w:rPr>
          <w:rFonts w:ascii="Times New Roman" w:hAnsi="Times New Roman" w:cs="Times New Roman"/>
          <w:sz w:val="24"/>
          <w:szCs w:val="24"/>
        </w:rPr>
        <w:t xml:space="preserve">" </w:t>
      </w:r>
      <w:r w:rsidR="0021422A"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етальний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Pr="00573A58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73A58">
        <w:rPr>
          <w:rFonts w:ascii="Times New Roman" w:hAnsi="Times New Roman" w:cs="Times New Roman"/>
          <w:sz w:val="24"/>
          <w:szCs w:val="24"/>
        </w:rPr>
        <w:t xml:space="preserve"> </w:t>
      </w:r>
      <w:r w:rsidRPr="00573A58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FF51DA">
        <w:rPr>
          <w:rFonts w:ascii="Times New Roman" w:hAnsi="Times New Roman" w:cs="Times New Roman"/>
          <w:sz w:val="24"/>
          <w:szCs w:val="24"/>
          <w:lang w:val="uk-UA"/>
        </w:rPr>
        <w:t>Черемшини</w:t>
      </w:r>
      <w:r w:rsidRPr="00573A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292A">
        <w:rPr>
          <w:rFonts w:ascii="Times New Roman" w:hAnsi="Times New Roman" w:cs="Times New Roman"/>
          <w:sz w:val="24"/>
          <w:szCs w:val="24"/>
          <w:lang w:val="uk-UA"/>
        </w:rPr>
        <w:t xml:space="preserve">(в межах земельної ділянки </w:t>
      </w:r>
      <w:r w:rsidR="00FF51DA">
        <w:rPr>
          <w:rFonts w:ascii="Times New Roman" w:hAnsi="Times New Roman" w:cs="Times New Roman"/>
          <w:sz w:val="24"/>
          <w:szCs w:val="24"/>
          <w:lang w:val="uk-UA"/>
        </w:rPr>
        <w:t>Вишенько М.О</w:t>
      </w:r>
      <w:r w:rsidR="00A1292A">
        <w:rPr>
          <w:rFonts w:ascii="Times New Roman" w:hAnsi="Times New Roman" w:cs="Times New Roman"/>
          <w:sz w:val="24"/>
          <w:szCs w:val="24"/>
          <w:lang w:val="uk-UA"/>
        </w:rPr>
        <w:t xml:space="preserve">.) </w:t>
      </w:r>
      <w:r w:rsidRPr="00573A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73A58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A1292A">
        <w:rPr>
          <w:rFonts w:ascii="Times New Roman" w:hAnsi="Times New Roman" w:cs="Times New Roman"/>
          <w:sz w:val="24"/>
          <w:szCs w:val="24"/>
          <w:lang w:val="uk-UA"/>
        </w:rPr>
        <w:t>Саджавка</w:t>
      </w:r>
      <w:proofErr w:type="spellEnd"/>
      <w:r w:rsidRPr="00573A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292A">
        <w:rPr>
          <w:rFonts w:ascii="Times New Roman" w:hAnsi="Times New Roman" w:cs="Times New Roman"/>
          <w:sz w:val="24"/>
          <w:szCs w:val="24"/>
          <w:lang w:val="uk-UA"/>
        </w:rPr>
        <w:t xml:space="preserve">Коломийської міської об’єднаної територіальної громади </w:t>
      </w:r>
      <w:r w:rsidRPr="00573A58">
        <w:rPr>
          <w:rFonts w:ascii="Times New Roman" w:hAnsi="Times New Roman" w:cs="Times New Roman"/>
          <w:sz w:val="24"/>
          <w:szCs w:val="24"/>
          <w:lang w:val="uk-UA"/>
        </w:rPr>
        <w:t xml:space="preserve">не підлягає стратегічній екологічній оцінці, тому що до планової діяльності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житлового будинку</w:t>
      </w:r>
      <w:r w:rsidRPr="00573A58">
        <w:rPr>
          <w:rFonts w:ascii="Times New Roman" w:hAnsi="Times New Roman" w:cs="Times New Roman"/>
          <w:sz w:val="24"/>
          <w:szCs w:val="24"/>
          <w:lang w:val="uk-UA"/>
        </w:rPr>
        <w:t xml:space="preserve"> не передбачена процедура оцінки впливу на довкілля згідно ст. 3 Закону України "Про оцінку впливу на довкілля".</w:t>
      </w:r>
    </w:p>
    <w:p w:rsidR="00C17F48" w:rsidRPr="00CC5EA0" w:rsidRDefault="00EE1F23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Людина –</w:t>
      </w:r>
      <w:r w:rsidR="002357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це найголовніше багатство, основний потенціал розвитку населеного пункту. 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Для покращення санітарно-гігієнічного стану необхідно дотримуватися всіх нормативно-допустимих розривів, інженерно-технічних заходів, озеленення, шумозахисту тощо.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Даним детальним планом території встановлені необхідні санітарно-захисні і охоронні зони</w:t>
      </w:r>
      <w:r w:rsidR="00EC7A08">
        <w:rPr>
          <w:rFonts w:ascii="Times New Roman" w:hAnsi="Times New Roman" w:cs="Times New Roman"/>
          <w:sz w:val="24"/>
          <w:szCs w:val="24"/>
          <w:lang w:val="uk-UA"/>
        </w:rPr>
        <w:t>, які є територіями обмеженої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господарської діяльності. Охоронні зони встановлені згідно діючих норм і правил.</w:t>
      </w:r>
    </w:p>
    <w:p w:rsidR="00C17F48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Для покращення санітарно-гігієнічного стану і безпечного проживання людей необхідно дотримуватися всіх нормативно-допустимих розривів, інженерно-технічних заходів, проводити озеленення тощо. </w:t>
      </w:r>
    </w:p>
    <w:p w:rsidR="00C17F48" w:rsidRPr="00B67976" w:rsidRDefault="00EE1F23" w:rsidP="00CC5EA0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67976">
        <w:rPr>
          <w:rFonts w:ascii="Times New Roman" w:hAnsi="Times New Roman" w:cs="Times New Roman"/>
          <w:i/>
          <w:sz w:val="24"/>
          <w:szCs w:val="24"/>
          <w:lang w:val="uk-UA"/>
        </w:rPr>
        <w:t>Шумозахист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Згідно з державними санітарними нормами і правилами планування та забудови населених пунктів допустимі рівні звуку (дБ) на територіях, що безпосередньо прилягають до житлових будинків такі: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en-US"/>
        </w:rPr>
        <w:t>LA</w:t>
      </w:r>
      <w:r w:rsidRPr="00CC5EA0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екв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– 55 (вдень), 45 (вночі)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en-US"/>
        </w:rPr>
        <w:t>LA</w:t>
      </w:r>
      <w:r w:rsidRPr="00CC5EA0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макс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– 70 (вдень), 60 (вночі)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Допускається збільшення рівня звуку в першому ряді житлових будинків на 10 дБ.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en-US"/>
        </w:rPr>
        <w:t>LA</w:t>
      </w:r>
      <w:r w:rsidRPr="00CC5EA0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екв</w:t>
      </w: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(шумова характеристика джерел шуму):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Автодорога – 79 дБ;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Житлові вулиці – 73дБ;</w:t>
      </w:r>
    </w:p>
    <w:p w:rsidR="00C17F48" w:rsidRPr="00CC5EA0" w:rsidRDefault="00EE1F23" w:rsidP="00CC5E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Промислово-виробничі території – 55дБ;</w:t>
      </w:r>
    </w:p>
    <w:p w:rsidR="00C17F48" w:rsidRDefault="00EE1F23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Конструкція вікна знижує рівень шуму на 30 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дБ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>, двох-</w:t>
      </w:r>
      <w:proofErr w:type="spellStart"/>
      <w:r w:rsidRPr="00CC5EA0">
        <w:rPr>
          <w:rFonts w:ascii="Times New Roman" w:hAnsi="Times New Roman" w:cs="Times New Roman"/>
          <w:sz w:val="24"/>
          <w:szCs w:val="24"/>
          <w:lang w:val="uk-UA"/>
        </w:rPr>
        <w:t>трьохрядна</w:t>
      </w:r>
      <w:proofErr w:type="spellEnd"/>
      <w:r w:rsidRPr="00CC5EA0">
        <w:rPr>
          <w:rFonts w:ascii="Times New Roman" w:hAnsi="Times New Roman" w:cs="Times New Roman"/>
          <w:sz w:val="24"/>
          <w:szCs w:val="24"/>
          <w:lang w:val="uk-UA"/>
        </w:rPr>
        <w:t xml:space="preserve"> смуга зелених насаджень шириною 25 метрів знижує рівень шуму на 10 дБ. Віддаленістю житлових будинків від джерел шуму досягається допустимий рівень звуку в житлових приміщеннях, або нижчий допустимого.</w:t>
      </w:r>
    </w:p>
    <w:p w:rsidR="00B67976" w:rsidRPr="00BC7BA9" w:rsidRDefault="00B67976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F48" w:rsidRPr="00B67976" w:rsidRDefault="00EE1F23" w:rsidP="000141DC">
      <w:pPr>
        <w:pStyle w:val="a7"/>
        <w:numPr>
          <w:ilvl w:val="3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976">
        <w:rPr>
          <w:rFonts w:ascii="Times New Roman" w:hAnsi="Times New Roman" w:cs="Times New Roman"/>
          <w:b/>
          <w:sz w:val="24"/>
          <w:szCs w:val="24"/>
          <w:lang w:val="uk-UA"/>
        </w:rPr>
        <w:t>Заходи щодо реалізації детального плану на етап від 3 років до 7 років.</w:t>
      </w:r>
    </w:p>
    <w:p w:rsidR="00C17F48" w:rsidRPr="00CC5EA0" w:rsidRDefault="00EE1F23" w:rsidP="00014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До першочергових заходів слід віднести:</w:t>
      </w:r>
    </w:p>
    <w:p w:rsidR="00C17F48" w:rsidRPr="00CC5EA0" w:rsidRDefault="00EE1F23" w:rsidP="00CC5EA0">
      <w:pPr>
        <w:pStyle w:val="a7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Впорядкування та благоустрій території;</w:t>
      </w:r>
    </w:p>
    <w:p w:rsidR="00C17F48" w:rsidRPr="00CC5EA0" w:rsidRDefault="00EE1F23" w:rsidP="00CC5EA0">
      <w:pPr>
        <w:pStyle w:val="a7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Реконструкція вулиць з влаштуванням нормативних габаритів елементів поперечного профілю;</w:t>
      </w:r>
    </w:p>
    <w:p w:rsidR="00C17F48" w:rsidRPr="00CC5EA0" w:rsidRDefault="00EE1F23" w:rsidP="000141DC">
      <w:pPr>
        <w:pStyle w:val="a7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EA0">
        <w:rPr>
          <w:rFonts w:ascii="Times New Roman" w:hAnsi="Times New Roman" w:cs="Times New Roman"/>
          <w:sz w:val="24"/>
          <w:szCs w:val="24"/>
          <w:lang w:val="uk-UA"/>
        </w:rPr>
        <w:t>Посадка зелених насаджень.</w:t>
      </w:r>
      <w:bookmarkStart w:id="1" w:name="_GoBack"/>
      <w:bookmarkEnd w:id="1"/>
    </w:p>
    <w:p w:rsidR="00C17F48" w:rsidRPr="00EC7A08" w:rsidRDefault="00C17F48" w:rsidP="00EC7A0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17F48" w:rsidRPr="00EC7A08" w:rsidSect="00CF7984">
      <w:pgSz w:w="11906" w:h="16838"/>
      <w:pgMar w:top="426" w:right="566" w:bottom="28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singleLevel"/>
    <w:tmpl w:val="00000022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B"/>
    <w:multiLevelType w:val="singleLevel"/>
    <w:tmpl w:val="0000002B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3F"/>
    <w:multiLevelType w:val="multilevel"/>
    <w:tmpl w:val="0BD8CED2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013F7C90"/>
    <w:multiLevelType w:val="hybridMultilevel"/>
    <w:tmpl w:val="77242AD6"/>
    <w:lvl w:ilvl="0" w:tplc="9D0083EC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8C23B67"/>
    <w:multiLevelType w:val="multilevel"/>
    <w:tmpl w:val="337EB4B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7306B1"/>
    <w:multiLevelType w:val="multilevel"/>
    <w:tmpl w:val="30E88EA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A0101"/>
    <w:multiLevelType w:val="multilevel"/>
    <w:tmpl w:val="40EC295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E4FEC"/>
    <w:multiLevelType w:val="multilevel"/>
    <w:tmpl w:val="50648B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E6720"/>
    <w:multiLevelType w:val="multilevel"/>
    <w:tmpl w:val="26F26D40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EC323EE"/>
    <w:multiLevelType w:val="multilevel"/>
    <w:tmpl w:val="3DF438C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4E4D3E"/>
    <w:multiLevelType w:val="multilevel"/>
    <w:tmpl w:val="2D1AC982"/>
    <w:lvl w:ilvl="0">
      <w:start w:val="8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48"/>
    <w:rsid w:val="000141DC"/>
    <w:rsid w:val="000145FF"/>
    <w:rsid w:val="000C5D71"/>
    <w:rsid w:val="000E6C85"/>
    <w:rsid w:val="00125F31"/>
    <w:rsid w:val="00173271"/>
    <w:rsid w:val="00187251"/>
    <w:rsid w:val="001C207F"/>
    <w:rsid w:val="0021422A"/>
    <w:rsid w:val="00235728"/>
    <w:rsid w:val="00271F1D"/>
    <w:rsid w:val="00305C80"/>
    <w:rsid w:val="00530110"/>
    <w:rsid w:val="006C6EFD"/>
    <w:rsid w:val="00791CD0"/>
    <w:rsid w:val="00894F87"/>
    <w:rsid w:val="009E1A06"/>
    <w:rsid w:val="00A1292A"/>
    <w:rsid w:val="00AD77A2"/>
    <w:rsid w:val="00AE7CAE"/>
    <w:rsid w:val="00AE7D22"/>
    <w:rsid w:val="00B67976"/>
    <w:rsid w:val="00B81B61"/>
    <w:rsid w:val="00BC69FE"/>
    <w:rsid w:val="00BC7BA9"/>
    <w:rsid w:val="00C07371"/>
    <w:rsid w:val="00C17F48"/>
    <w:rsid w:val="00C904BF"/>
    <w:rsid w:val="00CC5EA0"/>
    <w:rsid w:val="00CE4D3D"/>
    <w:rsid w:val="00CF7984"/>
    <w:rsid w:val="00D23052"/>
    <w:rsid w:val="00D46111"/>
    <w:rsid w:val="00D531B3"/>
    <w:rsid w:val="00D838C1"/>
    <w:rsid w:val="00DB19E8"/>
    <w:rsid w:val="00DB6930"/>
    <w:rsid w:val="00E5176B"/>
    <w:rsid w:val="00E94650"/>
    <w:rsid w:val="00EB06A1"/>
    <w:rsid w:val="00EC7A08"/>
    <w:rsid w:val="00EE1F23"/>
    <w:rsid w:val="00EF0055"/>
    <w:rsid w:val="00F0220B"/>
    <w:rsid w:val="00F667AC"/>
    <w:rsid w:val="00FF1EC6"/>
    <w:rsid w:val="00FF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D0A94"/>
  <w15:docId w15:val="{93B6E3E3-E7B9-49D1-AB93-86F23B54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4">
    <w:name w:val="Font Style54"/>
    <w:qFormat/>
    <w:rsid w:val="00CF7836"/>
    <w:rPr>
      <w:rFonts w:ascii="Century Gothic" w:hAnsi="Century Gothic" w:cs="Century Gothic"/>
      <w:b/>
      <w:bCs/>
      <w:i/>
      <w:iCs/>
      <w:sz w:val="22"/>
      <w:szCs w:val="22"/>
    </w:rPr>
  </w:style>
  <w:style w:type="character" w:customStyle="1" w:styleId="FontStyle56">
    <w:name w:val="Font Style56"/>
    <w:qFormat/>
    <w:rsid w:val="00CF7836"/>
    <w:rPr>
      <w:rFonts w:ascii="Century Gothic" w:hAnsi="Century Gothic" w:cs="Century Gothic"/>
      <w:i/>
      <w:iCs/>
      <w:sz w:val="22"/>
      <w:szCs w:val="22"/>
    </w:rPr>
  </w:style>
  <w:style w:type="character" w:customStyle="1" w:styleId="FontStyle58">
    <w:name w:val="Font Style58"/>
    <w:qFormat/>
    <w:rsid w:val="00CF7836"/>
    <w:rPr>
      <w:rFonts w:ascii="Century Gothic" w:hAnsi="Century Gothic" w:cs="Century Gothic"/>
      <w:sz w:val="22"/>
      <w:szCs w:val="22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eastAsia="Calibri"/>
    </w:rPr>
  </w:style>
  <w:style w:type="character" w:customStyle="1" w:styleId="ListLabel4">
    <w:name w:val="ListLabel 4"/>
    <w:qFormat/>
    <w:rPr>
      <w:b w:val="0"/>
    </w:rPr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a3">
    <w:name w:val="Основний текст"/>
    <w:basedOn w:val="a"/>
    <w:pPr>
      <w:spacing w:after="140" w:line="288" w:lineRule="auto"/>
    </w:pPr>
  </w:style>
  <w:style w:type="paragraph" w:styleId="a4">
    <w:name w:val="List"/>
    <w:basedOn w:val="a3"/>
    <w:rPr>
      <w:rFonts w:cs="FreeSans"/>
    </w:rPr>
  </w:style>
  <w:style w:type="paragraph" w:customStyle="1" w:styleId="a5">
    <w:name w:val="Розділ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6">
    <w:name w:val="Покажчик"/>
    <w:basedOn w:val="a"/>
    <w:qFormat/>
    <w:pPr>
      <w:suppressLineNumbers/>
    </w:pPr>
    <w:rPr>
      <w:rFonts w:cs="FreeSans"/>
    </w:rPr>
  </w:style>
  <w:style w:type="paragraph" w:styleId="a7">
    <w:name w:val="List Paragraph"/>
    <w:basedOn w:val="a"/>
    <w:uiPriority w:val="34"/>
    <w:qFormat/>
    <w:rsid w:val="00DD0B60"/>
    <w:pPr>
      <w:ind w:left="720"/>
      <w:contextualSpacing/>
    </w:pPr>
  </w:style>
  <w:style w:type="paragraph" w:customStyle="1" w:styleId="Style2">
    <w:name w:val="Style2"/>
    <w:basedOn w:val="a"/>
    <w:uiPriority w:val="99"/>
    <w:qFormat/>
    <w:rsid w:val="00CF7836"/>
    <w:pPr>
      <w:widowControl w:val="0"/>
      <w:spacing w:after="0" w:line="415" w:lineRule="exact"/>
      <w:ind w:firstLine="11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F7836"/>
    <w:pPr>
      <w:suppressAutoHyphens/>
      <w:spacing w:line="240" w:lineRule="auto"/>
    </w:pPr>
    <w:rPr>
      <w:rFonts w:cs="Times New Roman"/>
    </w:rPr>
  </w:style>
  <w:style w:type="table" w:styleId="a9">
    <w:name w:val="Table Grid"/>
    <w:basedOn w:val="a1"/>
    <w:uiPriority w:val="59"/>
    <w:rsid w:val="00CF783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8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38C1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D77A2"/>
    <w:rPr>
      <w:color w:val="0000FF"/>
      <w:u w:val="single"/>
    </w:rPr>
  </w:style>
  <w:style w:type="paragraph" w:styleId="ad">
    <w:name w:val="Normal (Web)"/>
    <w:basedOn w:val="a"/>
    <w:uiPriority w:val="99"/>
    <w:semiHidden/>
    <w:unhideWhenUsed/>
    <w:rsid w:val="00125F3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4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1%D1%83%D0%B4%D0%B8%D0%BD%D0%BE%D0%BA_%D0%BA%D1%83%D0%BB%D1%8C%D1%82%D1%83%D1%80%D0%B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1400" TargetMode="External"/><Relationship Id="rId12" Type="http://schemas.openxmlformats.org/officeDocument/2006/relationships/hyperlink" Target="https://uk.wikipedia.org/wiki/%D0%9A%D0%B2%D0%B0%D0%B4%D1%80%D0%B0%D1%82%D0%BD%D0%B8%D0%B9_%D0%BA%D1%96%D0%BB%D0%BE%D0%BC%D0%B5%D1%8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F%D1%80%D1%83%D1%82_(%D1%80%D1%96%D1%87%D0%BA%D0%B0)" TargetMode="External"/><Relationship Id="rId11" Type="http://schemas.openxmlformats.org/officeDocument/2006/relationships/hyperlink" Target="https://uk.wikipedia.org/wiki/%D0%A4%D0%B5%D0%BB%D1%8C%D0%B4%D1%88%D0%B5%D1%80%D1%81%D1%8C%D0%BA%D0%BE-%D0%B0%D0%BA%D1%83%D1%88%D0%B5%D1%80%D1%81%D1%8C%D0%BA%D0%B8%D0%B9_%D0%BF%D1%83%D0%BD%D0%BA%D1%82" TargetMode="External"/><Relationship Id="rId5" Type="http://schemas.openxmlformats.org/officeDocument/2006/relationships/hyperlink" Target="https://uk.wikipedia.org/wiki/%D0%9D%D0%B0%D0%B4%D0%B2%D1%96%D1%80%D0%BD%D1%8F%D0%BD%D1%81%D1%8C%D0%BA%D0%B8%D0%B9_%D1%80%D0%B0%D0%B9%D0%BE%D0%BD" TargetMode="External"/><Relationship Id="rId10" Type="http://schemas.openxmlformats.org/officeDocument/2006/relationships/hyperlink" Target="https://uk.wikipedia.org/wiki/%D0%92%D1%96%D0%B4%D0%B4%D1%96%D0%BB%D0%B5%D0%BD%D0%BD%D1%8F_%D0%B7%D0%B2%27%D1%8F%D0%B7%D0%BA%D1%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1%D1%96%D0%B1%D0%BB%D1%96%D0%BE%D1%82%D0%B5%D0%BA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3329</Words>
  <Characters>18980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Kostjuk_Oleg</dc:creator>
  <cp:lastModifiedBy>User</cp:lastModifiedBy>
  <cp:revision>2</cp:revision>
  <cp:lastPrinted>2020-03-11T13:22:00Z</cp:lastPrinted>
  <dcterms:created xsi:type="dcterms:W3CDTF">2020-03-11T14:31:00Z</dcterms:created>
  <dcterms:modified xsi:type="dcterms:W3CDTF">2020-03-11T14:31:00Z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